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rPr>
          <w:rFonts w:ascii="Calibri" w:cs="Calibri" w:eastAsia="Calibri" w:hAnsi="Calibri"/>
          <w:color w:val="1F3864"/>
        </w:rPr>
      </w:pPr>
      <w:r>
        <w:t xml:space="preserve">Qualia Academy Guest Speakers Policy and Procedure V2 LDP2026</w:t>
      </w:r>
    </w:p>
    <w:p>
      <w:pPr>
        <w:pStyle w:val="Heading1"/>
        <w:rPr>
          <w:rFonts w:ascii="Calibri" w:cs="Calibri" w:eastAsia="Calibri" w:hAnsi="Calibri"/>
          <w:color w:val="1F3864"/>
        </w:rPr>
      </w:pPr>
      <w:r>
        <w:t xml:space="preserve">Guest Speakers Policy and Procedure</w:t>
      </w:r>
    </w:p>
    <w:p/>
    <w:p>
      <w:r>
        <w:rPr>
          <w:rFonts w:ascii="Calibri" w:cs="Calibri" w:eastAsia="Calibri" w:hAnsi="Calibri"/>
        </w:rPr>
        <w:t xml:space="preserve">Version V2:LDP2026 — full replacement for V1:LDP2024. This policy should be read alongside the Qualia Academy Safeguarding and Prevent Policy (V3:SPP2022), the Safer Recruitment Policy, the Health and Safety Policy, the Equality, Diversity and Inclusion Policy and the Data Protection Policy.</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1F3864"/>
          </w:tcPr>
          <w:p>
            <w:r>
              <w:rPr>
                <w:rFonts w:ascii="Calibri" w:cs="Calibri" w:eastAsia="Calibri" w:hAnsi="Calibri"/>
                <w:b/>
                <w:bCs/>
                <w:color w:val="FFFFFF"/>
              </w:rPr>
              <w:t xml:space="preserve">Field</w:t>
            </w:r>
          </w:p>
        </w:tc>
        <w:tc>
          <w:tcPr>
            <w:tcW w:type="pct" w:w="50%"/>
            <w:shd w:fill="1F3864"/>
          </w:tcPr>
          <w:p>
            <w:r>
              <w:rPr>
                <w:rFonts w:ascii="Calibri" w:cs="Calibri" w:eastAsia="Calibri" w:hAnsi="Calibri"/>
                <w:b/>
                <w:bCs/>
                <w:color w:val="FFFFFF"/>
              </w:rPr>
              <w:t xml:space="preserve">Detail</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Policy owner</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Designated Safeguarding Lead (DSL), Kirsty Watson</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Approved by</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Senior Leadership Team / Board of Directors</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Effective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1 September 2026</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Review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1 September 2027, or earlier following legislative change, a serious incident or a Prevent-related concern</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Document reference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V2:LDP2026</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Supersedes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Guest Speakers Policy and Process V1:LDP2024 (effective 15/09/2024, review date 15/09/2025 — expired)</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Audience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All staff, associates, apprentices and learners, contractors, volunteers, guest speakers, third-party providers and facilities hire clients</w:t>
            </w:r>
          </w:p>
        </w:tc>
      </w:tr>
    </w:tbl>
    <w:p/>
    <w:p>
      <w:pPr>
        <w:pStyle w:val="Heading2"/>
        <w:rPr>
          <w:rFonts w:ascii="Calibri" w:cs="Calibri" w:eastAsia="Calibri" w:hAnsi="Calibri"/>
        </w:rPr>
      </w:pPr>
      <w:r>
        <w:t xml:space="preserve">1. Aim</w:t>
      </w:r>
    </w:p>
    <w:p/>
    <w:p>
      <w:r>
        <w:rPr>
          <w:rFonts w:ascii="Calibri" w:cs="Calibri" w:eastAsia="Calibri" w:hAnsi="Calibri"/>
        </w:rPr>
        <w:t xml:space="preserve">1.1 Qualia Academy is committed to creating a learning environment in which every learner is safe, is treated with dignity and respect, and in which diversity is valued. This policy sets out the mandatory requirements that apply whenever an external or guest speaker contributes to the education, training, enrichment, pastoral or wider learner experience offer, regardless of who organises the activity or where it takes place.</w:t>
      </w:r>
    </w:p>
    <w:p/>
    <w:p>
      <w:r>
        <w:rPr>
          <w:rFonts w:ascii="Calibri" w:cs="Calibri" w:eastAsia="Calibri" w:hAnsi="Calibri"/>
        </w:rPr>
        <w:t xml:space="preserve">1.2 The policy protects learners, staff, speakers and the reputation of Qualia Academy, and enables the Academy to evidence that it discharges its statutory safeguarding and Prevent responsibilities. It is written with reference to the Prevent duty under section 26 of the Counter-Terrorism and Security Act 2015, Keeping children safe in education 2026, and the changes to regulated activity introduced by the Crime and Policing Act 2026 which take effect on 1 September 2026.</w:t>
      </w:r>
    </w:p>
    <w:p/>
    <w:p>
      <w:r>
        <w:rPr>
          <w:rFonts w:ascii="Calibri" w:cs="Calibri" w:eastAsia="Calibri" w:hAnsi="Calibri"/>
        </w:rPr>
        <w:t xml:space="preserve">1.3 The policy is designed so that safeguarding practice is consistent, recorded and capable of being tested. Inspectors will consider whether leaders and those responsible for governance create a positive safeguarding culture, understand and act on risks in the local and online context, ensure that adults working with learners are suitable, and use the curriculum and wider provision to keep learners safe and prepare them for life in modern Britain.</w:t>
      </w:r>
    </w:p>
    <w:p/>
    <w:p>
      <w:pPr>
        <w:pStyle w:val="Heading2"/>
        <w:rPr>
          <w:rFonts w:ascii="Calibri" w:cs="Calibri" w:eastAsia="Calibri" w:hAnsi="Calibri"/>
        </w:rPr>
      </w:pPr>
      <w:r>
        <w:t xml:space="preserve">2. Objectives</w:t>
      </w:r>
    </w:p>
    <w:p/>
    <w:p>
      <w:pPr>
        <w:pStyle w:val="ListParagraph"/>
        <w:numPr>
          <w:ilvl w:val="0"/>
          <w:numId w:val="1"/>
        </w:numPr>
        <w:ind w:left="360"/>
      </w:pPr>
      <w:r>
        <w:rPr>
          <w:rFonts w:ascii="Calibri" w:cs="Calibri" w:eastAsia="Calibri" w:hAnsi="Calibri"/>
        </w:rPr>
        <w:t xml:space="preserve">To protect freedom of expression and lawful debate, while ensuring the Academy community is free from harm and that incitement to hatred, violence or terrorism is never tolerated.</w:t>
      </w:r>
    </w:p>
    <w:p>
      <w:pPr>
        <w:pStyle w:val="ListParagraph"/>
        <w:numPr>
          <w:ilvl w:val="0"/>
          <w:numId w:val="1"/>
        </w:numPr>
        <w:ind w:left="360"/>
      </w:pPr>
      <w:r>
        <w:rPr>
          <w:rFonts w:ascii="Calibri" w:cs="Calibri" w:eastAsia="Calibri" w:hAnsi="Calibri"/>
        </w:rPr>
        <w:t xml:space="preserve">To ensure every external contribution has clear educational value, is appropriate to the age, stage, needs and vulnerabilities of the learners present, and is anchored in the curriculum or the personal development offer.</w:t>
      </w:r>
    </w:p>
    <w:p>
      <w:pPr>
        <w:pStyle w:val="ListParagraph"/>
        <w:numPr>
          <w:ilvl w:val="0"/>
          <w:numId w:val="1"/>
        </w:numPr>
        <w:ind w:left="360"/>
      </w:pPr>
      <w:r>
        <w:rPr>
          <w:rFonts w:ascii="Calibri" w:cs="Calibri" w:eastAsia="Calibri" w:hAnsi="Calibri"/>
        </w:rPr>
        <w:t xml:space="preserve">To ensure that no adult has contact with learners unless their suitability has been established in line with Keeping children safe in education 2026 and the Academy's Safer Recruitment Policy.</w:t>
      </w:r>
    </w:p>
    <w:p>
      <w:pPr>
        <w:pStyle w:val="ListParagraph"/>
        <w:numPr>
          <w:ilvl w:val="0"/>
          <w:numId w:val="1"/>
        </w:numPr>
        <w:ind w:left="360"/>
      </w:pPr>
      <w:r>
        <w:rPr>
          <w:rFonts w:ascii="Calibri" w:cs="Calibri" w:eastAsia="Calibri" w:hAnsi="Calibri"/>
        </w:rPr>
        <w:t xml:space="preserve">To provide a single, proportionate, risk-tiered approval procedure with clear accountability, mandatory Designated Safeguarding Lead oversight and auditable records.</w:t>
      </w:r>
    </w:p>
    <w:p>
      <w:pPr>
        <w:pStyle w:val="ListParagraph"/>
        <w:numPr>
          <w:ilvl w:val="0"/>
          <w:numId w:val="1"/>
        </w:numPr>
        <w:ind w:left="360"/>
      </w:pPr>
      <w:r>
        <w:rPr>
          <w:rFonts w:ascii="Calibri" w:cs="Calibri" w:eastAsia="Calibri" w:hAnsi="Calibri"/>
        </w:rPr>
        <w:t xml:space="preserve">To ensure political issues are treated in a balanced way and that the promotion of partisan political views to learners is prevented, in line with sections 406 and 407 of the Education Act 1996.</w:t>
      </w:r>
    </w:p>
    <w:p>
      <w:pPr>
        <w:pStyle w:val="ListParagraph"/>
        <w:numPr>
          <w:ilvl w:val="0"/>
          <w:numId w:val="1"/>
        </w:numPr>
        <w:ind w:left="360"/>
      </w:pPr>
      <w:r>
        <w:rPr>
          <w:rFonts w:ascii="Calibri" w:cs="Calibri" w:eastAsia="Calibri" w:hAnsi="Calibri"/>
        </w:rPr>
        <w:t xml:space="preserve">To meet the Public Sector Equality Duty under section 149 of the Equality Act 2010 in the selection, approval and management of speakers.</w:t>
      </w:r>
    </w:p>
    <w:p>
      <w:pPr>
        <w:pStyle w:val="ListParagraph"/>
        <w:numPr>
          <w:ilvl w:val="0"/>
          <w:numId w:val="1"/>
        </w:numPr>
        <w:ind w:left="360"/>
      </w:pPr>
      <w:r>
        <w:rPr>
          <w:rFonts w:ascii="Calibri" w:cs="Calibri" w:eastAsia="Calibri" w:hAnsi="Calibri"/>
        </w:rPr>
        <w:t xml:space="preserve">To ensure concerns arising before, during or after an event are escalated, recorded, referred and reviewed, including to Prevent and Channel or to adult safeguarding where appropriate.</w:t>
      </w:r>
    </w:p>
    <w:p>
      <w:pPr>
        <w:pStyle w:val="ListParagraph"/>
        <w:numPr>
          <w:ilvl w:val="0"/>
          <w:numId w:val="1"/>
        </w:numPr>
        <w:ind w:left="360"/>
      </w:pPr>
      <w:r>
        <w:rPr>
          <w:rFonts w:ascii="Calibri" w:cs="Calibri" w:eastAsia="Calibri" w:hAnsi="Calibri"/>
        </w:rPr>
        <w:t xml:space="preserve">To ensure the Board of Directors receives assurance that this policy operates effectively in practice.</w:t>
      </w:r>
    </w:p>
    <w:p/>
    <w:p>
      <w:pPr>
        <w:pStyle w:val="Heading2"/>
        <w:rPr>
          <w:rFonts w:ascii="Calibri" w:cs="Calibri" w:eastAsia="Calibri" w:hAnsi="Calibri"/>
        </w:rPr>
      </w:pPr>
      <w:r>
        <w:t xml:space="preserve">3. Scope and definitions</w:t>
      </w:r>
    </w:p>
    <w:p/>
    <w:p>
      <w:r>
        <w:rPr>
          <w:rFonts w:ascii="Calibri" w:cs="Calibri" w:eastAsia="Calibri" w:hAnsi="Calibri"/>
        </w:rPr>
        <w:t xml:space="preserve">3.1 This policy applies to all guest and external speaker activity involving Qualia Academy learners or staff, including activity delivered on Academy premises, at employer premises, at hired or third-party venues, off site, online, live-streamed or pre-recorded.</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1F3864"/>
          </w:tcPr>
          <w:p>
            <w:r>
              <w:rPr>
                <w:rFonts w:ascii="Calibri" w:cs="Calibri" w:eastAsia="Calibri" w:hAnsi="Calibri"/>
                <w:b/>
                <w:bCs/>
                <w:color w:val="FFFFFF"/>
              </w:rPr>
              <w:t xml:space="preserve">Term</w:t>
            </w:r>
          </w:p>
        </w:tc>
        <w:tc>
          <w:tcPr>
            <w:tcW w:type="pct" w:w="50%"/>
            <w:shd w:fill="1F3864"/>
          </w:tcPr>
          <w:p>
            <w:r>
              <w:rPr>
                <w:rFonts w:ascii="Calibri" w:cs="Calibri" w:eastAsia="Calibri" w:hAnsi="Calibri"/>
                <w:b/>
                <w:bCs/>
                <w:color w:val="FFFFFF"/>
              </w:rPr>
              <w:t xml:space="preserve">Definition for the purposes of this policy</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Guest or external speaker</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Any individual or organisation that is not directly employed by Qualia Academy who delivers information, teaching, training, a presentation, a workshop, a demonstration, mentoring or advice to learners or staff, whether to a group or on a one-to-one basis. This includes staff or students from another institution, employer representatives delivering enrichment or masterclass input, charities, faith and community organisations, emergency services, careers speakers, alumni and motivational speakers.</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Event</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Any presentation, visit, session, activity, workshop, assembly, enrichment or initiative involving an external speaker, including sessions delivered within a normal timetabled class, and including events where a speaker joins by live stream or where a pre-recorded contribution is shown.</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Organiser</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The Qualia Academy member of staff who initiates or hosts the contribution and is accountable for completing Appendix 1 and securing approval before the activity is confirmed.</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Learner</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Any apprentice, trainee, study programme learner or adult learner registered with Qualia Academy, including learners under 18 and adults at risk.</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Adult at risk</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 person aged 18 or over who has needs for care and support and who is, or is at risk of, experiencing abuse or neglect and is unable to protect themselves as a result of those needs (Care Act 2014).</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Regulated activity</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Work that brings a person into contact with children in the circumstances set out in the Safeguarding Vulnerable Groups Act 2006 as amended, including by the Crime and Policing Act 2026. From 1 September 2026 the supervision exemption is removed for specified roles, so a person teaching, training, instructing, caring for or supervising children frequently, on more than three days in any 30-day period, or overnight is in regulated activity even where supervised.</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DSL / Deputy DSL</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Designated Safeguarding Lead, Kirsty Watson, and Deputy Designated Safeguarding Lead, Shabnum Sadiq, as recorded in the Safeguarding and Prevent Policy V3:SPP2022. The DSL also holds the Prevent Lead function.</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Facilities hire client</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Any external organisation or individual paying to use, or granted use of, Qualia Academy premises, whose activity may involve external speakers.</w:t>
            </w:r>
          </w:p>
        </w:tc>
      </w:tr>
    </w:tbl>
    <w:p/>
    <w:p>
      <w:r>
        <w:rPr>
          <w:rFonts w:ascii="Calibri" w:cs="Calibri" w:eastAsia="Calibri" w:hAnsi="Calibri"/>
        </w:rPr>
        <w:t xml:space="preserve">3.2 Nothing in this policy displaces the requirements of the Safer Recruitment Policy where an individual is engaged to deliver teaching or assessment on a recurring basis. Where a proposed contribution amounts to regular delivery, the individual must be onboarded as staff, an associate or a subcontractor through safer recruitment, not approved as a guest speaker.</w:t>
      </w:r>
    </w:p>
    <w:p/>
    <w:p>
      <w:pPr>
        <w:pStyle w:val="Heading2"/>
        <w:rPr>
          <w:rFonts w:ascii="Calibri" w:cs="Calibri" w:eastAsia="Calibri" w:hAnsi="Calibri"/>
        </w:rPr>
      </w:pPr>
      <w:r>
        <w:t xml:space="preserve">4. Legal and regulatory framework</w:t>
      </w:r>
    </w:p>
    <w:p/>
    <w:p>
      <w:pPr>
        <w:pStyle w:val="ListParagraph"/>
        <w:numPr>
          <w:ilvl w:val="0"/>
          <w:numId w:val="1"/>
        </w:numPr>
        <w:ind w:left="360"/>
      </w:pPr>
      <w:r>
        <w:rPr>
          <w:rFonts w:ascii="Calibri" w:cs="Calibri" w:eastAsia="Calibri" w:hAnsi="Calibri"/>
        </w:rPr>
        <w:t xml:space="preserve">Counter-Terrorism and Security Act 2015, s.26 (Prevent duty) and s.29 (statutory guidance).</w:t>
      </w:r>
    </w:p>
    <w:p>
      <w:pPr>
        <w:pStyle w:val="ListParagraph"/>
        <w:numPr>
          <w:ilvl w:val="0"/>
          <w:numId w:val="1"/>
        </w:numPr>
        <w:ind w:left="360"/>
      </w:pPr>
      <w:r>
        <w:rPr>
          <w:rFonts w:ascii="Calibri" w:cs="Calibri" w:eastAsia="Calibri" w:hAnsi="Calibri"/>
        </w:rPr>
        <w:t xml:space="preserve">Home Office, Prevent duty guidance: for England and Wales (revised), paragraphs 141 to 210 (education and childcare).</w:t>
      </w:r>
    </w:p>
    <w:p>
      <w:pPr>
        <w:pStyle w:val="ListParagraph"/>
        <w:numPr>
          <w:ilvl w:val="0"/>
          <w:numId w:val="1"/>
        </w:numPr>
        <w:ind w:left="360"/>
      </w:pPr>
      <w:r>
        <w:rPr>
          <w:rFonts w:ascii="Calibri" w:cs="Calibri" w:eastAsia="Calibri" w:hAnsi="Calibri"/>
        </w:rPr>
        <w:t xml:space="preserve">Department for Education, Keeping children safe in education 2026, Part three: Safer recruitment, paragraphs 371 to 383 (visitors, volunteers and regulated activity) and the Prevent duty and Channel provisions.</w:t>
      </w:r>
    </w:p>
    <w:p>
      <w:pPr>
        <w:pStyle w:val="ListParagraph"/>
        <w:numPr>
          <w:ilvl w:val="0"/>
          <w:numId w:val="1"/>
        </w:numPr>
        <w:ind w:left="360"/>
      </w:pPr>
      <w:r>
        <w:rPr>
          <w:rFonts w:ascii="Calibri" w:cs="Calibri" w:eastAsia="Calibri" w:hAnsi="Calibri"/>
        </w:rPr>
        <w:t xml:space="preserve">Crime and Policing Act 2026 — amendments to regulated activity and removal of the supervision exemption, effective 1 September 2026.</w:t>
      </w:r>
    </w:p>
    <w:p>
      <w:pPr>
        <w:pStyle w:val="ListParagraph"/>
        <w:numPr>
          <w:ilvl w:val="0"/>
          <w:numId w:val="1"/>
        </w:numPr>
        <w:ind w:left="360"/>
      </w:pPr>
      <w:r>
        <w:rPr>
          <w:rFonts w:ascii="Calibri" w:cs="Calibri" w:eastAsia="Calibri" w:hAnsi="Calibri"/>
        </w:rPr>
        <w:t xml:space="preserve">HM Government, Working together to safeguard children 2026: a guide to multi-agency working.</w:t>
      </w:r>
    </w:p>
    <w:p>
      <w:pPr>
        <w:pStyle w:val="ListParagraph"/>
        <w:numPr>
          <w:ilvl w:val="0"/>
          <w:numId w:val="1"/>
        </w:numPr>
        <w:ind w:left="360"/>
      </w:pPr>
      <w:r>
        <w:rPr>
          <w:rFonts w:ascii="Calibri" w:cs="Calibri" w:eastAsia="Calibri" w:hAnsi="Calibri"/>
        </w:rPr>
        <w:t xml:space="preserve">Safer Recruitment Guidance for Schools 2025 — agency, third-party staff and volunteer check requirements.</w:t>
      </w:r>
    </w:p>
    <w:p>
      <w:pPr>
        <w:pStyle w:val="ListParagraph"/>
        <w:numPr>
          <w:ilvl w:val="0"/>
          <w:numId w:val="1"/>
        </w:numPr>
        <w:ind w:left="360"/>
      </w:pPr>
      <w:r>
        <w:rPr>
          <w:rFonts w:ascii="Calibri" w:cs="Calibri" w:eastAsia="Calibri" w:hAnsi="Calibri"/>
        </w:rPr>
        <w:t xml:space="preserve">Safeguarding Vulnerable Groups Act 2006; Protection of Freedoms Act 2012; Police Act 1997.</w:t>
      </w:r>
    </w:p>
    <w:p>
      <w:pPr>
        <w:pStyle w:val="ListParagraph"/>
        <w:numPr>
          <w:ilvl w:val="0"/>
          <w:numId w:val="1"/>
        </w:numPr>
        <w:ind w:left="360"/>
      </w:pPr>
      <w:r>
        <w:rPr>
          <w:rFonts w:ascii="Calibri" w:cs="Calibri" w:eastAsia="Calibri" w:hAnsi="Calibri"/>
        </w:rPr>
        <w:t xml:space="preserve">Education Act 1996, ss.406 to 407 — prohibition of partisan political indoctrination and duty to secure balanced treatment of political issues.</w:t>
      </w:r>
    </w:p>
    <w:p>
      <w:pPr>
        <w:pStyle w:val="ListParagraph"/>
        <w:numPr>
          <w:ilvl w:val="0"/>
          <w:numId w:val="1"/>
        </w:numPr>
        <w:ind w:left="360"/>
      </w:pPr>
      <w:r>
        <w:rPr>
          <w:rFonts w:ascii="Calibri" w:cs="Calibri" w:eastAsia="Calibri" w:hAnsi="Calibri"/>
        </w:rPr>
        <w:t xml:space="preserve">Equality Act 2010, s.149 — Public Sector Equality Duty.</w:t>
      </w:r>
    </w:p>
    <w:p>
      <w:pPr>
        <w:pStyle w:val="ListParagraph"/>
        <w:numPr>
          <w:ilvl w:val="0"/>
          <w:numId w:val="1"/>
        </w:numPr>
        <w:ind w:left="360"/>
      </w:pPr>
      <w:r>
        <w:rPr>
          <w:rFonts w:ascii="Calibri" w:cs="Calibri" w:eastAsia="Calibri" w:hAnsi="Calibri"/>
        </w:rPr>
        <w:t xml:space="preserve">Care Act 2014 — adult safeguarding duties and safeguarding enquiries.</w:t>
      </w:r>
    </w:p>
    <w:p>
      <w:pPr>
        <w:pStyle w:val="ListParagraph"/>
        <w:numPr>
          <w:ilvl w:val="0"/>
          <w:numId w:val="1"/>
        </w:numPr>
        <w:ind w:left="360"/>
      </w:pPr>
      <w:r>
        <w:rPr>
          <w:rFonts w:ascii="Calibri" w:cs="Calibri" w:eastAsia="Calibri" w:hAnsi="Calibri"/>
        </w:rPr>
        <w:t xml:space="preserve">UK General Data Protection Regulation and Data Protection Act 2018.</w:t>
      </w:r>
    </w:p>
    <w:p>
      <w:pPr>
        <w:pStyle w:val="ListParagraph"/>
        <w:numPr>
          <w:ilvl w:val="0"/>
          <w:numId w:val="1"/>
        </w:numPr>
        <w:ind w:left="360"/>
      </w:pPr>
      <w:r>
        <w:rPr>
          <w:rFonts w:ascii="Calibri" w:cs="Calibri" w:eastAsia="Calibri" w:hAnsi="Calibri"/>
        </w:rPr>
        <w:t xml:space="preserve">Ofsted, Further education and skills inspection toolkit (updated 9 September 2025) — Safeguarding, Inclusion, Leadership and governance, and Participation and development evaluation areas at whole-provider and provision-type level.</w:t>
      </w:r>
    </w:p>
    <w:p>
      <w:pPr>
        <w:pStyle w:val="ListParagraph"/>
        <w:numPr>
          <w:ilvl w:val="0"/>
          <w:numId w:val="1"/>
        </w:numPr>
        <w:ind w:left="360"/>
      </w:pPr>
      <w:r>
        <w:rPr>
          <w:rFonts w:ascii="Calibri" w:cs="Calibri" w:eastAsia="Calibri" w:hAnsi="Calibri"/>
        </w:rPr>
        <w:t xml:space="preserve">Qualia Academy Safeguarding and Prevent Policy V3:SPP2022 — guest speaker, third party and Single Central Record provisions.</w:t>
      </w:r>
    </w:p>
    <w:p/>
    <w:p>
      <w:pPr>
        <w:pStyle w:val="Heading2"/>
        <w:rPr>
          <w:rFonts w:ascii="Calibri" w:cs="Calibri" w:eastAsia="Calibri" w:hAnsi="Calibri"/>
        </w:rPr>
      </w:pPr>
      <w:r>
        <w:t xml:space="preserve">5. Roles and responsibilities</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1F3864"/>
          </w:tcPr>
          <w:p>
            <w:r>
              <w:rPr>
                <w:rFonts w:ascii="Calibri" w:cs="Calibri" w:eastAsia="Calibri" w:hAnsi="Calibri"/>
                <w:b/>
                <w:bCs/>
                <w:color w:val="FFFFFF"/>
              </w:rPr>
              <w:t xml:space="preserve">Role</w:t>
            </w:r>
          </w:p>
        </w:tc>
        <w:tc>
          <w:tcPr>
            <w:tcW w:type="pct" w:w="50%"/>
            <w:shd w:fill="1F3864"/>
          </w:tcPr>
          <w:p>
            <w:r>
              <w:rPr>
                <w:rFonts w:ascii="Calibri" w:cs="Calibri" w:eastAsia="Calibri" w:hAnsi="Calibri"/>
                <w:b/>
                <w:bCs/>
                <w:color w:val="FFFFFF"/>
              </w:rPr>
              <w:t xml:space="preserve">Responsibility</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Board of Directors / those responsible for governance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Approve this policy; receive at least termly assurance on external speaker activity, refusals, incidents and Prevent referrals; challenge leaders where practice is weak; ensure the policy is reviewed annually.</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Managing Director</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Final decision on any escalated, contested or high-risk speaker request; ensures resourcing for due diligence and training; accountable for the Prevent duty at organisational level.</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Designated Safeguarding Lead (also Prevent Lead)</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Mandatory sign-off on every external speaker request; determines the vetting tier; approves or refuses on safeguarding and Prevent grounds; maintains the External Speaker Register; makes Prevent, Channel, children's social care or adult safeguarding referrals; reports to the Board; oversees post-event review.</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Deputy DSL</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Acts in the absence of the DSL with the same authority.</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Programme Lead / Curriculum Lead</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Confirms educational value, curriculum fit and age and stage appropriateness; reviews speaker materials in advance; ensures learner preparation and follow-up learning.</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Organiser (host staff member)</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Completes Appendix 1, undertakes and records due diligence, submits within the notice period, briefs the speaker, remains present throughout, manages the session, escalates concerns immediately and completes the post-event review.</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Supervising staff member</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Holds a current enhanced DBS check with children's barred list information; accompanies the speaker at all times; intervenes or halts the session where content or conduct breaches this policy.</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All staff</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Understand and apply this policy; never permit an unapproved speaker access to learners; report concerns to the DSL without delay.</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Learners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Are told how to raise concerns during or after a session and that doing so is welcomed and acted upon.</w:t>
            </w:r>
          </w:p>
        </w:tc>
      </w:tr>
    </w:tbl>
    <w:p/>
    <w:p>
      <w:pPr>
        <w:pStyle w:val="Heading2"/>
        <w:rPr>
          <w:rFonts w:ascii="Calibri" w:cs="Calibri" w:eastAsia="Calibri" w:hAnsi="Calibri"/>
        </w:rPr>
      </w:pPr>
      <w:r>
        <w:t xml:space="preserve">6. Freedom of speech, balanced debate and political impartiality</w:t>
      </w:r>
    </w:p>
    <w:p/>
    <w:p>
      <w:r>
        <w:rPr>
          <w:rFonts w:ascii="Calibri" w:cs="Calibri" w:eastAsia="Calibri" w:hAnsi="Calibri"/>
        </w:rPr>
        <w:t xml:space="preserve">6.1 Freedom of speech and freedom of expression are rights protected by law, but they are freedoms within the law and are not absolute. Qualia Academy actively values challenging discussion and the exploration of difficult subjects, because well-managed debate builds learners' resilience, critical thinking and understanding of fundamental British values.</w:t>
      </w:r>
    </w:p>
    <w:p/>
    <w:p>
      <w:r>
        <w:rPr>
          <w:rFonts w:ascii="Calibri" w:cs="Calibri" w:eastAsia="Calibri" w:hAnsi="Calibri"/>
        </w:rPr>
        <w:t xml:space="preserve">6.2 Where a topic is contested, the Academy will ensure a balance of opinion is available to learners, either within the same session or through planned follow-up activity, and will build in structured opportunities to question and challenge the views expressed.</w:t>
      </w:r>
    </w:p>
    <w:p/>
    <w:p>
      <w:r>
        <w:rPr>
          <w:rFonts w:ascii="Calibri" w:cs="Calibri" w:eastAsia="Calibri" w:hAnsi="Calibri"/>
        </w:rPr>
        <w:t xml:space="preserve">6.3 In line with sections 406 and 407 of the Education Act 1996, the promotion of partisan political views to learners is prohibited, and where political issues are raised learners must be offered a balanced presentation of opposing views. No speaker representing a political party may address learners during an election period (from the announcement of a national or local election to the declaration of the result) unless the DSL and Managing Director have approved arrangements that secure balance across parties.</w:t>
      </w:r>
    </w:p>
    <w:p/>
    <w:p>
      <w:r>
        <w:rPr>
          <w:rFonts w:ascii="Calibri" w:cs="Calibri" w:eastAsia="Calibri" w:hAnsi="Calibri"/>
        </w:rPr>
        <w:t xml:space="preserve">6.4 No speaker or organisation may raise, gather or solicit funds, recruit members, promote a commercial product or collect learner personal data without prior written permission from the Managing Director and the DSL.</w:t>
      </w:r>
    </w:p>
    <w:p/>
    <w:p>
      <w:pPr>
        <w:pStyle w:val="Heading2"/>
        <w:rPr>
          <w:rFonts w:ascii="Calibri" w:cs="Calibri" w:eastAsia="Calibri" w:hAnsi="Calibri"/>
        </w:rPr>
      </w:pPr>
      <w:r>
        <w:t xml:space="preserve">7. Speaker responsibilities and code of conduct</w:t>
      </w:r>
    </w:p>
    <w:p/>
    <w:p>
      <w:r>
        <w:rPr>
          <w:rFonts w:ascii="Calibri" w:cs="Calibri" w:eastAsia="Calibri" w:hAnsi="Calibri"/>
        </w:rPr>
        <w:t xml:space="preserve">7.1 The organiser must provide every speaker with a copy of this policy and the External Speaker Agreement (Appendix 2), which must be signed and returned before the event is confirmed. In signing, the speaker confirms that they and any accompanying representatives will:</w:t>
      </w:r>
    </w:p>
    <w:p/>
    <w:p>
      <w:pPr>
        <w:pStyle w:val="ListParagraph"/>
        <w:numPr>
          <w:ilvl w:val="0"/>
          <w:numId w:val="1"/>
        </w:numPr>
        <w:ind w:left="360"/>
      </w:pPr>
      <w:r>
        <w:rPr>
          <w:rFonts w:ascii="Calibri" w:cs="Calibri" w:eastAsia="Calibri" w:hAnsi="Calibri"/>
        </w:rPr>
        <w:t xml:space="preserve">Abide by the law and by Qualia Academy policies at all times.</w:t>
      </w:r>
    </w:p>
    <w:p>
      <w:pPr>
        <w:pStyle w:val="ListParagraph"/>
        <w:numPr>
          <w:ilvl w:val="0"/>
          <w:numId w:val="1"/>
        </w:numPr>
        <w:ind w:left="360"/>
      </w:pPr>
      <w:r>
        <w:rPr>
          <w:rFonts w:ascii="Calibri" w:cs="Calibri" w:eastAsia="Calibri" w:hAnsi="Calibri"/>
        </w:rPr>
        <w:t xml:space="preserve">Not advocate, incite or condone hatred, violence, discrimination, harassment or the breaking of the law.</w:t>
      </w:r>
    </w:p>
    <w:p>
      <w:pPr>
        <w:pStyle w:val="ListParagraph"/>
        <w:numPr>
          <w:ilvl w:val="0"/>
          <w:numId w:val="1"/>
        </w:numPr>
        <w:ind w:left="360"/>
      </w:pPr>
      <w:r>
        <w:rPr>
          <w:rFonts w:ascii="Calibri" w:cs="Calibri" w:eastAsia="Calibri" w:hAnsi="Calibri"/>
        </w:rPr>
        <w:t xml:space="preserve">Not encourage, glorify, promote or express support for terrorism, or for any proscribed organisation or individual associated with such acts.</w:t>
      </w:r>
    </w:p>
    <w:p>
      <w:pPr>
        <w:pStyle w:val="ListParagraph"/>
        <w:numPr>
          <w:ilvl w:val="0"/>
          <w:numId w:val="1"/>
        </w:numPr>
        <w:ind w:left="360"/>
      </w:pPr>
      <w:r>
        <w:rPr>
          <w:rFonts w:ascii="Calibri" w:cs="Calibri" w:eastAsia="Calibri" w:hAnsi="Calibri"/>
        </w:rPr>
        <w:t xml:space="preserve">Not spread hatred or intolerance, or act in a way that undermines community cohesion or fundamental British values.</w:t>
      </w:r>
    </w:p>
    <w:p>
      <w:pPr>
        <w:pStyle w:val="ListParagraph"/>
        <w:numPr>
          <w:ilvl w:val="0"/>
          <w:numId w:val="1"/>
        </w:numPr>
        <w:ind w:left="360"/>
      </w:pPr>
      <w:r>
        <w:rPr>
          <w:rFonts w:ascii="Calibri" w:cs="Calibri" w:eastAsia="Calibri" w:hAnsi="Calibri"/>
        </w:rPr>
        <w:t xml:space="preserve">Deliver only the content agreed in advance, and not introduce materially different or unapproved material.</w:t>
      </w:r>
    </w:p>
    <w:p>
      <w:pPr>
        <w:pStyle w:val="ListParagraph"/>
        <w:numPr>
          <w:ilvl w:val="0"/>
          <w:numId w:val="1"/>
        </w:numPr>
        <w:ind w:left="360"/>
      </w:pPr>
      <w:r>
        <w:rPr>
          <w:rFonts w:ascii="Calibri" w:cs="Calibri" w:eastAsia="Calibri" w:hAnsi="Calibri"/>
        </w:rPr>
        <w:t xml:space="preserve">Avoid content that is discriminatory or that could reasonably cause fear, alarm or distress, and treat all protected characteristics with respect.</w:t>
      </w:r>
    </w:p>
    <w:p>
      <w:pPr>
        <w:pStyle w:val="ListParagraph"/>
        <w:numPr>
          <w:ilvl w:val="0"/>
          <w:numId w:val="1"/>
        </w:numPr>
        <w:ind w:left="360"/>
      </w:pPr>
      <w:r>
        <w:rPr>
          <w:rFonts w:ascii="Calibri" w:cs="Calibri" w:eastAsia="Calibri" w:hAnsi="Calibri"/>
        </w:rPr>
        <w:t xml:space="preserve">Not promote partisan political views to learners.</w:t>
      </w:r>
    </w:p>
    <w:p>
      <w:pPr>
        <w:pStyle w:val="ListParagraph"/>
        <w:numPr>
          <w:ilvl w:val="0"/>
          <w:numId w:val="1"/>
        </w:numPr>
        <w:ind w:left="360"/>
      </w:pPr>
      <w:r>
        <w:rPr>
          <w:rFonts w:ascii="Calibri" w:cs="Calibri" w:eastAsia="Calibri" w:hAnsi="Calibri"/>
        </w:rPr>
        <w:t xml:space="preserve">Remain with the supervising member of staff at all times and not seek unsupervised contact with any learner.</w:t>
      </w:r>
    </w:p>
    <w:p>
      <w:pPr>
        <w:pStyle w:val="ListParagraph"/>
        <w:numPr>
          <w:ilvl w:val="0"/>
          <w:numId w:val="1"/>
        </w:numPr>
        <w:ind w:left="360"/>
      </w:pPr>
      <w:r>
        <w:rPr>
          <w:rFonts w:ascii="Calibri" w:cs="Calibri" w:eastAsia="Calibri" w:hAnsi="Calibri"/>
        </w:rPr>
        <w:t xml:space="preserve">Not exchange personal contact details or connect with learners on personal social media, and not photograph, film or record learners without prior written consent.</w:t>
      </w:r>
    </w:p>
    <w:p>
      <w:pPr>
        <w:pStyle w:val="ListParagraph"/>
        <w:numPr>
          <w:ilvl w:val="0"/>
          <w:numId w:val="1"/>
        </w:numPr>
        <w:ind w:left="360"/>
      </w:pPr>
      <w:r>
        <w:rPr>
          <w:rFonts w:ascii="Calibri" w:cs="Calibri" w:eastAsia="Calibri" w:hAnsi="Calibri"/>
        </w:rPr>
        <w:t xml:space="preserve">Report any safeguarding, Prevent, county lines, child criminal or sexual exploitation, or online safety concern immediately to the supervising staff member or the DSL.</w:t>
      </w:r>
    </w:p>
    <w:p>
      <w:pPr>
        <w:pStyle w:val="ListParagraph"/>
        <w:numPr>
          <w:ilvl w:val="0"/>
          <w:numId w:val="1"/>
        </w:numPr>
        <w:ind w:left="360"/>
      </w:pPr>
      <w:r>
        <w:rPr>
          <w:rFonts w:ascii="Calibri" w:cs="Calibri" w:eastAsia="Calibri" w:hAnsi="Calibri"/>
        </w:rPr>
        <w:t xml:space="preserve">Comply with site safety, fire, security and signing-in arrangements.</w:t>
      </w:r>
    </w:p>
    <w:p>
      <w:pPr>
        <w:pStyle w:val="ListParagraph"/>
        <w:numPr>
          <w:ilvl w:val="0"/>
          <w:numId w:val="1"/>
        </w:numPr>
        <w:ind w:left="360"/>
      </w:pPr>
      <w:r>
        <w:rPr>
          <w:rFonts w:ascii="Calibri" w:cs="Calibri" w:eastAsia="Calibri" w:hAnsi="Calibri"/>
        </w:rPr>
        <w:t xml:space="preserve">Accept that the Academy may observe, record, curtail or terminate the contribution at any point.</w:t>
      </w:r>
    </w:p>
    <w:p/>
    <w:p>
      <w:r>
        <w:rPr>
          <w:rFonts w:ascii="Calibri" w:cs="Calibri" w:eastAsia="Calibri" w:hAnsi="Calibri"/>
        </w:rPr>
        <w:t xml:space="preserve">7.2 Breach of the Agreement will result in the contribution being terminated, the individual or organisation being removed from the approved list, and, where appropriate, referral to the police, the Prevent team, the local authority designated officer or the Disclosure and Barring Service.</w:t>
      </w:r>
    </w:p>
    <w:p/>
    <w:p>
      <w:pPr>
        <w:pStyle w:val="Heading2"/>
        <w:rPr>
          <w:rFonts w:ascii="Calibri" w:cs="Calibri" w:eastAsia="Calibri" w:hAnsi="Calibri"/>
        </w:rPr>
      </w:pPr>
      <w:r>
        <w:t xml:space="preserve">8. Approval procedure</w:t>
      </w:r>
    </w:p>
    <w:p/>
    <w:p>
      <w:r>
        <w:rPr>
          <w:rFonts w:ascii="Calibri" w:cs="Calibri" w:eastAsia="Calibri" w:hAnsi="Calibri"/>
        </w:rPr>
        <w:t xml:space="preserve">8.1 No external speaker activity may be advertised, confirmed or delivered until written approval has been issued by the DSL or Deputy DSL. Verbal approval is not valid. Approval is specific to the named speaker, date, audience and content, and does not transfer to a deputy, a repeat booking or a different learner group without fresh approval.</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1F3864"/>
          </w:tcPr>
          <w:p>
            <w:r>
              <w:rPr>
                <w:rFonts w:ascii="Calibri" w:cs="Calibri" w:eastAsia="Calibri" w:hAnsi="Calibri"/>
                <w:b/>
                <w:bCs/>
                <w:color w:val="FFFFFF"/>
              </w:rPr>
              <w:t xml:space="preserve">Stage</w:t>
            </w:r>
          </w:p>
        </w:tc>
        <w:tc>
          <w:tcPr>
            <w:tcW w:type="pct" w:w="25%"/>
            <w:shd w:fill="1F3864"/>
          </w:tcPr>
          <w:p>
            <w:r>
              <w:rPr>
                <w:rFonts w:ascii="Calibri" w:cs="Calibri" w:eastAsia="Calibri" w:hAnsi="Calibri"/>
                <w:b/>
                <w:bCs/>
                <w:color w:val="FFFFFF"/>
              </w:rPr>
              <w:t xml:space="preserve">Action</w:t>
            </w:r>
          </w:p>
        </w:tc>
        <w:tc>
          <w:tcPr>
            <w:tcW w:type="pct" w:w="25%"/>
            <w:shd w:fill="1F3864"/>
          </w:tcPr>
          <w:p>
            <w:r>
              <w:rPr>
                <w:rFonts w:ascii="Calibri" w:cs="Calibri" w:eastAsia="Calibri" w:hAnsi="Calibri"/>
                <w:b/>
                <w:bCs/>
                <w:color w:val="FFFFFF"/>
              </w:rPr>
              <w:t xml:space="preserve">Responsible</w:t>
            </w:r>
          </w:p>
        </w:tc>
        <w:tc>
          <w:tcPr>
            <w:tcW w:type="pct" w:w="25%"/>
            <w:shd w:fill="1F3864"/>
          </w:tcPr>
          <w:p>
            <w:r>
              <w:rPr>
                <w:rFonts w:ascii="Calibri" w:cs="Calibri" w:eastAsia="Calibri" w:hAnsi="Calibri"/>
                <w:b/>
                <w:bCs/>
                <w:color w:val="FFFFFF"/>
              </w:rPr>
              <w:t xml:space="preserve">Deadline before event</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1</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Organiser identifies the proposed contribution and confirms curriculum or personal development purpose with the Programme Lead.</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Organiser / Programme Lead</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20 working days</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2</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Organiser completes Appendix 1 including due diligence research (Appendix 3), obtains outline content or materials, and identifies the proposed vetting tier.</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Organiser</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15 working days</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3</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Programme Lead confirms educational value, age and stage appropriateness and curriculum fit, and signs Appendix 1.</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Programme Lead</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12 working days</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4</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DSL or Deputy DSL reviews due diligence, confirms the vetting tier, checks vetting evidence and Single Central Record entry, reviews the risk assessment and records the decision.</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DSL / Deputy DSL</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10 working days</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5</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Where Tier 3 vetting applies, an enhanced DBS check with children's barred list information is obtained or verified and recorded before confirmation.</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DSL</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10 working days</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6</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Higher-risk, contested, political, faith-based or media-sensitive requests escalated to the Managing Director for final decision.</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DSL / Managing Director</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7 working days</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7</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Written approval or refusal issued to the organiser; External Speaker Agreement returned signed; risk controls communicated to all supervising staff.</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DSL / Organiser</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5 working days</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8</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Learner preparation, including how to raise a concern and how to opt out of sensitive content.</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Organiser</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Before the event</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9</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Delivery with supervision, sign-in and monitoring in place.</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Organiser / Supervising staff</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On the day</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10</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Post-event review (Appendix 4) completed and returned; register updated.</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Organiser / DSL</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5 working days after</w:t>
            </w:r>
          </w:p>
        </w:tc>
      </w:tr>
    </w:tbl>
    <w:p/>
    <w:p>
      <w:r>
        <w:rPr>
          <w:rFonts w:ascii="Calibri" w:cs="Calibri" w:eastAsia="Calibri" w:hAnsi="Calibri"/>
        </w:rPr>
        <w:t xml:space="preserve">8.2 The minimum notice period is 15 working days. The five-day notice period in V1:LDP2024 is withdrawn as it did not allow sufficient time for meaningful due diligence or for a DBS check to be obtained. Requests submitted late will be declined.</w:t>
      </w:r>
    </w:p>
    <w:p/>
    <w:p>
      <w:r>
        <w:rPr>
          <w:rFonts w:ascii="Calibri" w:cs="Calibri" w:eastAsia="Calibri" w:hAnsi="Calibri"/>
        </w:rPr>
        <w:t xml:space="preserve">8.3 Exceptionally, an expedited approval may be granted by the DSL in writing where the contribution carries low risk, the speaker is already on the approved register within the last 12 months with no concerns, no learner under 18 or adult at risk is present unsupervised, and full supervision is in place. Expedited approvals must be logged and reported to the Board.</w:t>
      </w:r>
    </w:p>
    <w:p/>
    <w:p>
      <w:r>
        <w:rPr>
          <w:rFonts w:ascii="Calibri" w:cs="Calibri" w:eastAsia="Calibri" w:hAnsi="Calibri"/>
        </w:rPr>
        <w:t xml:space="preserve">8.4 Qualia Academy reserves the right to refuse, postpone, curtail or cancel any contribution at any time, including during delivery, where this policy has not been followed or where safeguarding, Prevent, health, safety or security requirements cannot be met. There is no right of appeal for external parties; internal organisers may ask the Managing Director to review a refusal.</w:t>
      </w:r>
    </w:p>
    <w:p/>
    <w:p>
      <w:pPr>
        <w:pStyle w:val="Heading2"/>
        <w:rPr>
          <w:rFonts w:ascii="Calibri" w:cs="Calibri" w:eastAsia="Calibri" w:hAnsi="Calibri"/>
        </w:rPr>
      </w:pPr>
      <w:r>
        <w:t xml:space="preserve">9. Due diligence and research</w:t>
      </w:r>
    </w:p>
    <w:p/>
    <w:p>
      <w:r>
        <w:rPr>
          <w:rFonts w:ascii="Calibri" w:cs="Calibri" w:eastAsia="Calibri" w:hAnsi="Calibri"/>
        </w:rPr>
        <w:t xml:space="preserve">9.1 Proportionate, recorded research must be completed on every proposed speaker and their organisation using Appendix 3. Research must be evidenced; a statement that research was carried out is not sufficient. Sources should include the organisation's own website and published materials, open-source search of the speaker's name and any alternative names, published social media, the Charity Commission or Companies House register where relevant, and the Home Office list of proscribed terrorist organisations.</w:t>
      </w:r>
    </w:p>
    <w:p/>
    <w:p>
      <w:r>
        <w:rPr>
          <w:rFonts w:ascii="Calibri" w:cs="Calibri" w:eastAsia="Calibri" w:hAnsi="Calibri"/>
        </w:rPr>
        <w:t xml:space="preserve">9.2 Additional scrutiny and escalation to the DSL are required where any of the following apply:</w:t>
      </w:r>
    </w:p>
    <w:p/>
    <w:p>
      <w:pPr>
        <w:pStyle w:val="ListParagraph"/>
        <w:numPr>
          <w:ilvl w:val="0"/>
          <w:numId w:val="1"/>
        </w:numPr>
        <w:ind w:left="360"/>
      </w:pPr>
      <w:r>
        <w:rPr>
          <w:rFonts w:ascii="Calibri" w:cs="Calibri" w:eastAsia="Calibri" w:hAnsi="Calibri"/>
        </w:rPr>
        <w:t xml:space="preserve">Any link, current or historic, to a proscribed organisation or to an individual associated with terrorism or extremism.</w:t>
      </w:r>
    </w:p>
    <w:p>
      <w:pPr>
        <w:pStyle w:val="ListParagraph"/>
        <w:numPr>
          <w:ilvl w:val="0"/>
          <w:numId w:val="1"/>
        </w:numPr>
        <w:ind w:left="360"/>
      </w:pPr>
      <w:r>
        <w:rPr>
          <w:rFonts w:ascii="Calibri" w:cs="Calibri" w:eastAsia="Calibri" w:hAnsi="Calibri"/>
        </w:rPr>
        <w:t xml:space="preserve">An organisation reasonably regarded as extremist, or one whose published aims conflict with fundamental British values or the Equality Act 2010.</w:t>
      </w:r>
    </w:p>
    <w:p>
      <w:pPr>
        <w:pStyle w:val="ListParagraph"/>
        <w:numPr>
          <w:ilvl w:val="0"/>
          <w:numId w:val="1"/>
        </w:numPr>
        <w:ind w:left="360"/>
      </w:pPr>
      <w:r>
        <w:rPr>
          <w:rFonts w:ascii="Calibri" w:cs="Calibri" w:eastAsia="Calibri" w:hAnsi="Calibri"/>
        </w:rPr>
        <w:t xml:space="preserve">A speaker previously reported to have caused fear, intimidation, offence or a public order concern at another institution.</w:t>
      </w:r>
    </w:p>
    <w:p>
      <w:pPr>
        <w:pStyle w:val="ListParagraph"/>
        <w:numPr>
          <w:ilvl w:val="0"/>
          <w:numId w:val="1"/>
        </w:numPr>
        <w:ind w:left="360"/>
      </w:pPr>
      <w:r>
        <w:rPr>
          <w:rFonts w:ascii="Calibri" w:cs="Calibri" w:eastAsia="Calibri" w:hAnsi="Calibri"/>
        </w:rPr>
        <w:t xml:space="preserve">A speaker widely regarded as highly controversial, or whose material has been the subject of significant adverse media coverage.</w:t>
      </w:r>
    </w:p>
    <w:p>
      <w:pPr>
        <w:pStyle w:val="ListParagraph"/>
        <w:numPr>
          <w:ilvl w:val="0"/>
          <w:numId w:val="1"/>
        </w:numPr>
        <w:ind w:left="360"/>
      </w:pPr>
      <w:r>
        <w:rPr>
          <w:rFonts w:ascii="Calibri" w:cs="Calibri" w:eastAsia="Calibri" w:hAnsi="Calibri"/>
        </w:rPr>
        <w:t xml:space="preserve">A speaker representing a political party, or invited during an election period.</w:t>
      </w:r>
    </w:p>
    <w:p>
      <w:pPr>
        <w:pStyle w:val="ListParagraph"/>
        <w:numPr>
          <w:ilvl w:val="0"/>
          <w:numId w:val="1"/>
        </w:numPr>
        <w:ind w:left="360"/>
      </w:pPr>
      <w:r>
        <w:rPr>
          <w:rFonts w:ascii="Calibri" w:cs="Calibri" w:eastAsia="Calibri" w:hAnsi="Calibri"/>
        </w:rPr>
        <w:t xml:space="preserve">A speaker with a profile likely to attract protest, counter-protest, crowd control or security concerns.</w:t>
      </w:r>
    </w:p>
    <w:p>
      <w:pPr>
        <w:pStyle w:val="ListParagraph"/>
        <w:numPr>
          <w:ilvl w:val="0"/>
          <w:numId w:val="1"/>
        </w:numPr>
        <w:ind w:left="360"/>
      </w:pPr>
      <w:r>
        <w:rPr>
          <w:rFonts w:ascii="Calibri" w:cs="Calibri" w:eastAsia="Calibri" w:hAnsi="Calibri"/>
        </w:rPr>
        <w:t xml:space="preserve">An organisation delivering faith-based, ideological, single-issue campaigning or unregulated therapeutic content.</w:t>
      </w:r>
    </w:p>
    <w:p>
      <w:pPr>
        <w:pStyle w:val="ListParagraph"/>
        <w:numPr>
          <w:ilvl w:val="0"/>
          <w:numId w:val="1"/>
        </w:numPr>
        <w:ind w:left="360"/>
      </w:pPr>
      <w:r>
        <w:rPr>
          <w:rFonts w:ascii="Calibri" w:cs="Calibri" w:eastAsia="Calibri" w:hAnsi="Calibri"/>
        </w:rPr>
        <w:t xml:space="preserve">Content touching on suicide, self-harm, sexual violence, radicalisation, substance misuse, gangs or bereavement.</w:t>
      </w:r>
    </w:p>
    <w:p>
      <w:pPr>
        <w:pStyle w:val="ListParagraph"/>
        <w:numPr>
          <w:ilvl w:val="0"/>
          <w:numId w:val="1"/>
        </w:numPr>
        <w:ind w:left="360"/>
      </w:pPr>
      <w:r>
        <w:rPr>
          <w:rFonts w:ascii="Calibri" w:cs="Calibri" w:eastAsia="Calibri" w:hAnsi="Calibri"/>
        </w:rPr>
        <w:t xml:space="preserve">Any inability or unwillingness on the speaker's part to supply content in advance or to sign the External Speaker Agreement.</w:t>
      </w:r>
    </w:p>
    <w:p/>
    <w:p>
      <w:r>
        <w:rPr>
          <w:rFonts w:ascii="Calibri" w:cs="Calibri" w:eastAsia="Calibri" w:hAnsi="Calibri"/>
        </w:rPr>
        <w:t xml:space="preserve">9.3 Where the DSL is not able to reach a confident judgement, advice will be sought from the local authority Prevent coordinator, the local authority designated officer, the Kirklees safeguarding partnership or the police, in line with the multi-agency expectations in Working together to safeguard children 2026. Advice sought and received must be recorded.</w:t>
      </w:r>
    </w:p>
    <w:p/>
    <w:p>
      <w:r>
        <w:rPr>
          <w:rFonts w:ascii="Calibri" w:cs="Calibri" w:eastAsia="Calibri" w:hAnsi="Calibri"/>
        </w:rPr>
        <w:t xml:space="preserve">9.4 Following review, one of the following decisions is recorded: approve unrestricted; approve subject to specified controls (for example advance sight of slides, observation by the DSL, a chaired question and answer session, a counter-view speaker, independent recording, or restriction of the audience); refuse the speaker but permit the wider event; or refuse the event.</w:t>
      </w:r>
    </w:p>
    <w:p/>
    <w:p>
      <w:pPr>
        <w:pStyle w:val="Heading2"/>
        <w:rPr>
          <w:rFonts w:ascii="Calibri" w:cs="Calibri" w:eastAsia="Calibri" w:hAnsi="Calibri"/>
        </w:rPr>
      </w:pPr>
      <w:r>
        <w:t xml:space="preserve">10. Content suitability, educational value and age appropriateness</w:t>
      </w:r>
    </w:p>
    <w:p/>
    <w:p>
      <w:r>
        <w:rPr>
          <w:rFonts w:ascii="Calibri" w:cs="Calibri" w:eastAsia="Calibri" w:hAnsi="Calibri"/>
        </w:rPr>
        <w:t xml:space="preserve">10.1 External organisations can enrich learners' education, but Keeping children safe in education 2026 requires careful consideration of the suitability of any external organisation, including an assessment of the educational value and the age appropriateness of what will be delivered. Approval will not be granted on the basis of goodwill, an existing relationship or reputation alone.</w:t>
      </w:r>
    </w:p>
    <w:p/>
    <w:p>
      <w:r>
        <w:rPr>
          <w:rFonts w:ascii="Calibri" w:cs="Calibri" w:eastAsia="Calibri" w:hAnsi="Calibri"/>
        </w:rPr>
        <w:t xml:space="preserve">10.2 Before approval the Programme Lead must record:</w:t>
      </w:r>
    </w:p>
    <w:p/>
    <w:p>
      <w:pPr>
        <w:pStyle w:val="ListParagraph"/>
        <w:numPr>
          <w:ilvl w:val="0"/>
          <w:numId w:val="1"/>
        </w:numPr>
        <w:ind w:left="360"/>
      </w:pPr>
      <w:r>
        <w:rPr>
          <w:rFonts w:ascii="Calibri" w:cs="Calibri" w:eastAsia="Calibri" w:hAnsi="Calibri"/>
        </w:rPr>
        <w:t xml:space="preserve">The intended learning outcomes and how the contribution links to the curriculum, off-the-job training, personal development, careers or safeguarding and Prevent education.</w:t>
      </w:r>
    </w:p>
    <w:p>
      <w:pPr>
        <w:pStyle w:val="ListParagraph"/>
        <w:numPr>
          <w:ilvl w:val="0"/>
          <w:numId w:val="1"/>
        </w:numPr>
        <w:ind w:left="360"/>
      </w:pPr>
      <w:r>
        <w:rPr>
          <w:rFonts w:ascii="Calibri" w:cs="Calibri" w:eastAsia="Calibri" w:hAnsi="Calibri"/>
        </w:rPr>
        <w:t xml:space="preserve">The age range, prior knowledge, additional learning needs, disabilities and known vulnerabilities of the audience, and any reasonable adjustments required under the Equality Act 2010.</w:t>
      </w:r>
    </w:p>
    <w:p>
      <w:pPr>
        <w:pStyle w:val="ListParagraph"/>
        <w:numPr>
          <w:ilvl w:val="0"/>
          <w:numId w:val="1"/>
        </w:numPr>
        <w:ind w:left="360"/>
      </w:pPr>
      <w:r>
        <w:rPr>
          <w:rFonts w:ascii="Calibri" w:cs="Calibri" w:eastAsia="Calibri" w:hAnsi="Calibri"/>
        </w:rPr>
        <w:t xml:space="preserve">Whether any learner is under 18 or is an adult at risk, and any individual risk factors known to the DSL, including prior trauma, bereavement, exploitation or safeguarding involvement.</w:t>
      </w:r>
    </w:p>
    <w:p>
      <w:pPr>
        <w:pStyle w:val="ListParagraph"/>
        <w:numPr>
          <w:ilvl w:val="0"/>
          <w:numId w:val="1"/>
        </w:numPr>
        <w:ind w:left="360"/>
      </w:pPr>
      <w:r>
        <w:rPr>
          <w:rFonts w:ascii="Calibri" w:cs="Calibri" w:eastAsia="Calibri" w:hAnsi="Calibri"/>
        </w:rPr>
        <w:t xml:space="preserve">Confirmation that slides, handouts, films, activities and any signposted external resources or websites have been reviewed in advance and are appropriate, accurate and free from discriminatory or unbalanced content.</w:t>
      </w:r>
    </w:p>
    <w:p>
      <w:pPr>
        <w:pStyle w:val="ListParagraph"/>
        <w:numPr>
          <w:ilvl w:val="0"/>
          <w:numId w:val="1"/>
        </w:numPr>
        <w:ind w:left="360"/>
      </w:pPr>
      <w:r>
        <w:rPr>
          <w:rFonts w:ascii="Calibri" w:cs="Calibri" w:eastAsia="Calibri" w:hAnsi="Calibri"/>
        </w:rPr>
        <w:t xml:space="preserve">How sensitive content will be handled, including advance notice to learners, an opt-out route without detriment, in-session support and clear signposting to pastoral support and the DSL afterwards.</w:t>
      </w:r>
    </w:p>
    <w:p>
      <w:pPr>
        <w:pStyle w:val="ListParagraph"/>
        <w:numPr>
          <w:ilvl w:val="0"/>
          <w:numId w:val="1"/>
        </w:numPr>
        <w:ind w:left="360"/>
      </w:pPr>
      <w:r>
        <w:rPr>
          <w:rFonts w:ascii="Calibri" w:cs="Calibri" w:eastAsia="Calibri" w:hAnsi="Calibri"/>
        </w:rPr>
        <w:t xml:space="preserve">How the learning will be reinforced and evaluated after the event.</w:t>
      </w:r>
    </w:p>
    <w:p/>
    <w:p>
      <w:r>
        <w:rPr>
          <w:rFonts w:ascii="Calibri" w:cs="Calibri" w:eastAsia="Calibri" w:hAnsi="Calibri"/>
        </w:rPr>
        <w:t xml:space="preserve">10.3 Where materials cannot be reviewed in advance, the contribution must not proceed unless the DSL agrees alternative controls, such as direct observation by the DSL throughout.</w:t>
      </w:r>
    </w:p>
    <w:p/>
    <w:p>
      <w:pPr>
        <w:pStyle w:val="Heading2"/>
        <w:rPr>
          <w:rFonts w:ascii="Calibri" w:cs="Calibri" w:eastAsia="Calibri" w:hAnsi="Calibri"/>
        </w:rPr>
      </w:pPr>
      <w:r>
        <w:t xml:space="preserve">11. Vetting, identity, regulated activity and supervision</w:t>
      </w:r>
    </w:p>
    <w:p/>
    <w:p>
      <w:r>
        <w:rPr>
          <w:rFonts w:ascii="Calibri" w:cs="Calibri" w:eastAsia="Calibri" w:hAnsi="Calibri"/>
        </w:rPr>
        <w:t xml:space="preserve">11.1 From 1 September 2026, the Crime and Policing Act 2026 removes the supervision exemption from regulated activity. Supervision alone therefore no longer removes the need for an enhanced DBS check with children's barred list information where the role involves teaching, training, instructing, caring for or supervising children frequently, on more than three days in any 30-day period, or overnight. As a Department for Education funded independent training provider, Qualia Academy must ensure an enhanced DBS check with barred list information is obtained where this applies, in line with its funding agreement.</w:t>
      </w:r>
    </w:p>
    <w:p/>
    <w:p>
      <w:r>
        <w:rPr>
          <w:rFonts w:ascii="Calibri" w:cs="Calibri" w:eastAsia="Calibri" w:hAnsi="Calibri"/>
        </w:rPr>
        <w:t xml:space="preserve">11.2 The DSL determines the vetting tier for every speaker. Photographic identity must be verified against the original document on arrival for every visitor, and the verification recorded.</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1F3864"/>
          </w:tcPr>
          <w:p>
            <w:r>
              <w:rPr>
                <w:rFonts w:ascii="Calibri" w:cs="Calibri" w:eastAsia="Calibri" w:hAnsi="Calibri"/>
                <w:b/>
                <w:bCs/>
                <w:color w:val="FFFFFF"/>
              </w:rPr>
              <w:t xml:space="preserve">Tier</w:t>
            </w:r>
          </w:p>
        </w:tc>
        <w:tc>
          <w:tcPr>
            <w:tcW w:type="pct" w:w="33%"/>
            <w:shd w:fill="1F3864"/>
          </w:tcPr>
          <w:p>
            <w:r>
              <w:rPr>
                <w:rFonts w:ascii="Calibri" w:cs="Calibri" w:eastAsia="Calibri" w:hAnsi="Calibri"/>
                <w:b/>
                <w:bCs/>
                <w:color w:val="FFFFFF"/>
              </w:rPr>
              <w:t xml:space="preserve">Nature of contact</w:t>
            </w:r>
          </w:p>
        </w:tc>
        <w:tc>
          <w:tcPr>
            <w:tcW w:type="pct" w:w="33%"/>
            <w:shd w:fill="1F3864"/>
          </w:tcPr>
          <w:p>
            <w:r>
              <w:rPr>
                <w:rFonts w:ascii="Calibri" w:cs="Calibri" w:eastAsia="Calibri" w:hAnsi="Calibri"/>
                <w:b/>
                <w:bCs/>
                <w:color w:val="FFFFFF"/>
              </w:rPr>
              <w:t xml:space="preserve">Minimum requirements</w:t>
            </w:r>
          </w:p>
        </w:tc>
      </w:tr>
      <w:tr>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Tier 1</w:t>
            </w:r>
          </w:p>
        </w:tc>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No contact with learners (for example a meeting with staff only, escorted throughout)</w:t>
            </w:r>
          </w:p>
        </w:tc>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Photographic ID verified on arrival; signed in and out at reception; visitor badge worn; escorted at all times by a Qualia Academy member of staff; no DBS check required.</w:t>
            </w:r>
          </w:p>
        </w:tc>
      </w:tr>
      <w:tr>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Tier 2</w:t>
            </w:r>
          </w:p>
        </w:tc>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One-off or infrequent contact with learners, supervised at all times, not amounting to regulated activity</w:t>
            </w:r>
          </w:p>
        </w:tc>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All Tier 1 requirements, plus: Appendix 1 approved by the DSL; signed External Speaker Agreement; written assurance from the speaker's employing organisation that appropriate checks have been carried out and that the individual is not barred or known to present a risk; a named supervising staff member holding a current enhanced DBS check with children's barred list information present throughout; recorded risk assessment.</w:t>
            </w:r>
          </w:p>
        </w:tc>
      </w:tr>
      <w:tr>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Tier 3</w:t>
            </w:r>
          </w:p>
        </w:tc>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Teaching, training, instructing, supervising or caring for learners under 18, or contact that is frequent or on more than three days in any 30-day period, or overnight — regulated activity</w:t>
            </w:r>
          </w:p>
        </w:tc>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All Tier 2 requirements, plus: enhanced DBS check with children's barred list information obtained by Qualia Academy, or verified via the DBS Update Service, before any contact; entry made on the Single Central Record including check type, certificate number, date and identity verification; consideration of overseas checks and a prohibition from teaching check where relevant; consideration of whether the individual should instead be engaged through the Safer Recruitment Policy.</w:t>
            </w:r>
          </w:p>
        </w:tc>
      </w:tr>
      <w:tr>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Tier 4</w:t>
            </w:r>
          </w:p>
        </w:tc>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Unsupervised contact with learners</w:t>
            </w:r>
          </w:p>
        </w:tc>
        <w:tc>
          <w:tcPr>
            <w:tcW w:type="pct" w:w="33%"/>
            <w:tcBorders>
              <w:top w:val="single" w:color="CCCCCC" w:sz="1"/>
              <w:left w:val="single" w:color="CCCCCC" w:sz="1"/>
              <w:bottom w:val="single" w:color="CCCCCC" w:sz="1"/>
              <w:right w:val="single" w:color="CCCCCC" w:sz="1"/>
            </w:tcBorders>
          </w:tcPr>
          <w:p>
            <w:r>
              <w:rPr>
                <w:rFonts w:ascii="Calibri" w:cs="Calibri" w:eastAsia="Calibri" w:hAnsi="Calibri"/>
              </w:rPr>
              <w:t xml:space="preserve">Not permitted under this policy. Where genuinely unavoidable, the individual must be recruited and vetted in full under the Safer Recruitment Policy, entered on the Single Central Record and approved in writing by the Managing Director and the DSL before any contact.</w:t>
            </w:r>
          </w:p>
        </w:tc>
      </w:tr>
    </w:tbl>
    <w:p/>
    <w:p>
      <w:r>
        <w:rPr>
          <w:rFonts w:ascii="Calibri" w:cs="Calibri" w:eastAsia="Calibri" w:hAnsi="Calibri"/>
        </w:rPr>
        <w:t xml:space="preserve">11.3 The Associate pass and lanyard route in clause 5.8 of V1:LDP2024 is withdrawn. A letter on headed paper quoting a DBS certificate number is not, by itself, sufficient assurance and will no longer be accepted as an alternative to the requirements above. Qualia Academy will not routinely ask to see a certificate where a written assurance from the employing organisation is appropriate, but reserves the right to require sight of the original certificate.</w:t>
      </w:r>
    </w:p>
    <w:p/>
    <w:p>
      <w:r>
        <w:rPr>
          <w:rFonts w:ascii="Calibri" w:cs="Calibri" w:eastAsia="Calibri" w:hAnsi="Calibri"/>
        </w:rPr>
        <w:t xml:space="preserve">11.4 Where a check discloses information, the speaker must not have contact with learners until the DSL has completed and recorded a written risk assessment and the Managing Director has approved the arrangement. Where a barred individual is identified, or where an allegation meets the harm threshold, the DSL will follow the Safeguarding and Prevent Policy allegations procedure, including referral to the local authority designated officer, the police and the Disclosure and Barring Service as required.</w:t>
      </w:r>
    </w:p>
    <w:p/>
    <w:p>
      <w:r>
        <w:rPr>
          <w:rFonts w:ascii="Calibri" w:cs="Calibri" w:eastAsia="Calibri" w:hAnsi="Calibri"/>
        </w:rPr>
        <w:t xml:space="preserve">11.5 Where a speaker volunteers regularly at Qualia Academy and at other settings, the DSL will liaise with those settings to agree which organisation applies for the check, and will encourage use of the DBS Update Service to allow portability of the check.</w:t>
      </w:r>
    </w:p>
    <w:p/>
    <w:p>
      <w:r>
        <w:rPr>
          <w:rFonts w:ascii="Calibri" w:cs="Calibri" w:eastAsia="Calibri" w:hAnsi="Calibri"/>
        </w:rPr>
        <w:t xml:space="preserve">11.6 Under 18s and adults at risk must never be left alone with an external speaker. One-to-one contributions, including mentoring or coaching, require explicit DSL approval, a documented rationale, an open or observable setting and a written record of the session.</w:t>
      </w:r>
    </w:p>
    <w:p/>
    <w:p>
      <w:pPr>
        <w:pStyle w:val="Heading2"/>
        <w:rPr>
          <w:rFonts w:ascii="Calibri" w:cs="Calibri" w:eastAsia="Calibri" w:hAnsi="Calibri"/>
        </w:rPr>
      </w:pPr>
      <w:r>
        <w:t xml:space="preserve">12. Risk assessment</w:t>
      </w:r>
    </w:p>
    <w:p/>
    <w:p>
      <w:r>
        <w:rPr>
          <w:rFonts w:ascii="Calibri" w:cs="Calibri" w:eastAsia="Calibri" w:hAnsi="Calibri"/>
        </w:rPr>
        <w:t xml:space="preserve">12.1 A proportionate risk assessment is required for every external speaker contribution. The blanket exemption in clause 5.11 of V1:LDP2024 for speakers attending a normal timetabled class is withdrawn, because the presence of an external adult in a classroom is itself the risk that requires assessment. For routine, low-risk, in-class contributions the assessment may be completed within Part D of Appendix 1 rather than as a separate document.</w:t>
      </w:r>
    </w:p>
    <w:p/>
    <w:p>
      <w:r>
        <w:rPr>
          <w:rFonts w:ascii="Calibri" w:cs="Calibri" w:eastAsia="Calibri" w:hAnsi="Calibri"/>
        </w:rPr>
        <w:t xml:space="preserve">12.2 The risk assessment must address: safeguarding and Prevent risk; content risk and the potential for distress; supervision arrangements and staffing ratios; the presence of learners under 18 and adults at risk; venue, capacity, fire and site security; protest, media and reputational risk; online and streaming risk; data protection; the possible impact on any protected characteristic; and the controls, owners and stop conditions for each risk identified.</w:t>
      </w:r>
    </w:p>
    <w:p/>
    <w:p>
      <w:r>
        <w:rPr>
          <w:rFonts w:ascii="Calibri" w:cs="Calibri" w:eastAsia="Calibri" w:hAnsi="Calibri"/>
        </w:rPr>
        <w:t xml:space="preserve">12.3 A standalone risk assessment, countersigned by the DSL, is always required where the speaker is Tier 3, the topic is sensitive or contested, protest or media interest is possible, the event is off site or online, external attendees are present, or the audience exceeds normal class size.</w:t>
      </w:r>
    </w:p>
    <w:p/>
    <w:p>
      <w:pPr>
        <w:pStyle w:val="Heading2"/>
        <w:rPr>
          <w:rFonts w:ascii="Calibri" w:cs="Calibri" w:eastAsia="Calibri" w:hAnsi="Calibri"/>
        </w:rPr>
      </w:pPr>
      <w:r>
        <w:t xml:space="preserve">13. Adults at risk</w:t>
      </w:r>
    </w:p>
    <w:p/>
    <w:p>
      <w:r>
        <w:rPr>
          <w:rFonts w:ascii="Calibri" w:cs="Calibri" w:eastAsia="Calibri" w:hAnsi="Calibri"/>
        </w:rPr>
        <w:t xml:space="preserve">13.1 The majority of Qualia Academy learners are aged 18 or over. Safeguarding duties for adults arise under the Care Act 2014 and are not discharged by children's vetting arrangements alone. Where an adult learner has needs for care and support, the risk assessment must record the specific measures in place, and the DSL will consider whether the contribution constitutes regulated activity relating to adults, which requires a different check type.</w:t>
      </w:r>
    </w:p>
    <w:p/>
    <w:p>
      <w:r>
        <w:rPr>
          <w:rFonts w:ascii="Calibri" w:cs="Calibri" w:eastAsia="Calibri" w:hAnsi="Calibri"/>
        </w:rPr>
        <w:t xml:space="preserve">13.2 Concerns about an adult learner arising from a speaker contribution will be raised with the DSL and, with consent where the adult has capacity, referred to the local authority adult social care team under section 42 of the Care Act 2014. Where capacity is in doubt, the DSL will act in the adult's best interests and record the decision.</w:t>
      </w:r>
    </w:p>
    <w:p/>
    <w:p>
      <w:pPr>
        <w:pStyle w:val="Heading2"/>
        <w:rPr>
          <w:rFonts w:ascii="Calibri" w:cs="Calibri" w:eastAsia="Calibri" w:hAnsi="Calibri"/>
        </w:rPr>
      </w:pPr>
      <w:r>
        <w:t xml:space="preserve">14. Online, streamed and pre-recorded contributions</w:t>
      </w:r>
    </w:p>
    <w:p/>
    <w:p>
      <w:r>
        <w:rPr>
          <w:rFonts w:ascii="Calibri" w:cs="Calibri" w:eastAsia="Calibri" w:hAnsi="Calibri"/>
        </w:rPr>
        <w:t xml:space="preserve">14.1 Live-streamed, virtual and pre-recorded contributions are within scope and require the same approval, due diligence and content review as in-person contributions.</w:t>
      </w:r>
    </w:p>
    <w:p/>
    <w:p>
      <w:pPr>
        <w:pStyle w:val="ListParagraph"/>
        <w:numPr>
          <w:ilvl w:val="0"/>
          <w:numId w:val="1"/>
        </w:numPr>
        <w:ind w:left="360"/>
      </w:pPr>
      <w:r>
        <w:rPr>
          <w:rFonts w:ascii="Calibri" w:cs="Calibri" w:eastAsia="Calibri" w:hAnsi="Calibri"/>
        </w:rPr>
        <w:t xml:space="preserve">Sessions must be hosted on an Academy-approved platform, scheduled by a member of staff, and access-controlled; no learner may be admitted to a session hosted on a speaker's personal account.</w:t>
      </w:r>
    </w:p>
    <w:p>
      <w:pPr>
        <w:pStyle w:val="ListParagraph"/>
        <w:numPr>
          <w:ilvl w:val="0"/>
          <w:numId w:val="1"/>
        </w:numPr>
        <w:ind w:left="360"/>
      </w:pPr>
      <w:r>
        <w:rPr>
          <w:rFonts w:ascii="Calibri" w:cs="Calibri" w:eastAsia="Calibri" w:hAnsi="Calibri"/>
        </w:rPr>
        <w:t xml:space="preserve">A supervising member of staff must be present for the full duration, with host controls including the ability to mute, remove a participant and end the session.</w:t>
      </w:r>
    </w:p>
    <w:p>
      <w:pPr>
        <w:pStyle w:val="ListParagraph"/>
        <w:numPr>
          <w:ilvl w:val="0"/>
          <w:numId w:val="1"/>
        </w:numPr>
        <w:ind w:left="360"/>
      </w:pPr>
      <w:r>
        <w:rPr>
          <w:rFonts w:ascii="Calibri" w:cs="Calibri" w:eastAsia="Calibri" w:hAnsi="Calibri"/>
        </w:rPr>
        <w:t xml:space="preserve">Pre-recorded material must be viewed in full by the Programme Lead before use, and any linked or embedded content checked.</w:t>
      </w:r>
    </w:p>
    <w:p>
      <w:pPr>
        <w:pStyle w:val="ListParagraph"/>
        <w:numPr>
          <w:ilvl w:val="0"/>
          <w:numId w:val="1"/>
        </w:numPr>
        <w:ind w:left="360"/>
      </w:pPr>
      <w:r>
        <w:rPr>
          <w:rFonts w:ascii="Calibri" w:cs="Calibri" w:eastAsia="Calibri" w:hAnsi="Calibri"/>
        </w:rPr>
        <w:t xml:space="preserve">Chat, breakout rooms and direct messaging between speakers and learners must be disabled or actively monitored.</w:t>
      </w:r>
    </w:p>
    <w:p>
      <w:pPr>
        <w:pStyle w:val="ListParagraph"/>
        <w:numPr>
          <w:ilvl w:val="0"/>
          <w:numId w:val="1"/>
        </w:numPr>
        <w:ind w:left="360"/>
      </w:pPr>
      <w:r>
        <w:rPr>
          <w:rFonts w:ascii="Calibri" w:cs="Calibri" w:eastAsia="Calibri" w:hAnsi="Calibri"/>
        </w:rPr>
        <w:t xml:space="preserve">Recording requires prior written consent from all participants and a lawful basis under UK GDPR; learner cameras may be switched off.</w:t>
      </w:r>
    </w:p>
    <w:p>
      <w:pPr>
        <w:pStyle w:val="ListParagraph"/>
        <w:numPr>
          <w:ilvl w:val="0"/>
          <w:numId w:val="1"/>
        </w:numPr>
        <w:ind w:left="360"/>
      </w:pPr>
      <w:r>
        <w:rPr>
          <w:rFonts w:ascii="Calibri" w:cs="Calibri" w:eastAsia="Calibri" w:hAnsi="Calibri"/>
        </w:rPr>
        <w:t xml:space="preserve">Learners must be reminded of online safety expectations and how to report concerns during the session.</w:t>
      </w:r>
    </w:p>
    <w:p/>
    <w:p>
      <w:pPr>
        <w:pStyle w:val="Heading2"/>
        <w:rPr>
          <w:rFonts w:ascii="Calibri" w:cs="Calibri" w:eastAsia="Calibri" w:hAnsi="Calibri"/>
        </w:rPr>
      </w:pPr>
      <w:r>
        <w:t xml:space="preserve">15. Facilities hire and third-party organisers</w:t>
      </w:r>
    </w:p>
    <w:p/>
    <w:p>
      <w:r>
        <w:rPr>
          <w:rFonts w:ascii="Calibri" w:cs="Calibri" w:eastAsia="Calibri" w:hAnsi="Calibri"/>
        </w:rPr>
        <w:t xml:space="preserve">15.1 Section 6 was referenced in the contents of V1:LDP2024 but absent from the document. The following requirements now apply and must be incorporated into every hire agreement and subcontract.</w:t>
      </w:r>
    </w:p>
    <w:p/>
    <w:p>
      <w:pPr>
        <w:pStyle w:val="ListParagraph"/>
        <w:numPr>
          <w:ilvl w:val="0"/>
          <w:numId w:val="1"/>
        </w:numPr>
        <w:ind w:left="360"/>
      </w:pPr>
      <w:r>
        <w:rPr>
          <w:rFonts w:ascii="Calibri" w:cs="Calibri" w:eastAsia="Calibri" w:hAnsi="Calibri"/>
        </w:rPr>
        <w:t xml:space="preserve">The hire agreement must state that the hirer will comply with this policy and the Qualia Academy Safeguarding and Prevent Policy, and must name the hirer's own safeguarding lead and contact details.</w:t>
      </w:r>
    </w:p>
    <w:p>
      <w:pPr>
        <w:pStyle w:val="ListParagraph"/>
        <w:numPr>
          <w:ilvl w:val="0"/>
          <w:numId w:val="1"/>
        </w:numPr>
        <w:ind w:left="360"/>
      </w:pPr>
      <w:r>
        <w:rPr>
          <w:rFonts w:ascii="Calibri" w:cs="Calibri" w:eastAsia="Calibri" w:hAnsi="Calibri"/>
        </w:rPr>
        <w:t xml:space="preserve">The hirer must disclose all external speakers at least 15 working days in advance and submit Appendix 1 for each, with the DSL retaining the right of refusal.</w:t>
      </w:r>
    </w:p>
    <w:p>
      <w:pPr>
        <w:pStyle w:val="ListParagraph"/>
        <w:numPr>
          <w:ilvl w:val="0"/>
          <w:numId w:val="1"/>
        </w:numPr>
        <w:ind w:left="360"/>
      </w:pPr>
      <w:r>
        <w:rPr>
          <w:rFonts w:ascii="Calibri" w:cs="Calibri" w:eastAsia="Calibri" w:hAnsi="Calibri"/>
        </w:rPr>
        <w:t xml:space="preserve">The hirer must provide written assurance, or a Letter of Assurance, that all its staff and volunteers who will have contact with children or adults at risk have been appropriately vetted, including enhanced DBS with barred list checks where regulated activity applies.</w:t>
      </w:r>
    </w:p>
    <w:p>
      <w:pPr>
        <w:pStyle w:val="ListParagraph"/>
        <w:numPr>
          <w:ilvl w:val="0"/>
          <w:numId w:val="1"/>
        </w:numPr>
        <w:ind w:left="360"/>
      </w:pPr>
      <w:r>
        <w:rPr>
          <w:rFonts w:ascii="Calibri" w:cs="Calibri" w:eastAsia="Calibri" w:hAnsi="Calibri"/>
        </w:rPr>
        <w:t xml:space="preserve">Where a hire runs concurrently with Academy provision, arrangements must prevent unsupervised contact between the hirer's personnel and Qualia Academy learners, including separate access, facilities and timings.</w:t>
      </w:r>
    </w:p>
    <w:p>
      <w:pPr>
        <w:pStyle w:val="ListParagraph"/>
        <w:numPr>
          <w:ilvl w:val="0"/>
          <w:numId w:val="1"/>
        </w:numPr>
        <w:ind w:left="360"/>
      </w:pPr>
      <w:r>
        <w:rPr>
          <w:rFonts w:ascii="Calibri" w:cs="Calibri" w:eastAsia="Calibri" w:hAnsi="Calibri"/>
        </w:rPr>
        <w:t xml:space="preserve">The hirer must carry appropriate insurance, comply with site safety and evacuation procedures, and report any incident to the DSL immediately and in writing within 24 hours.</w:t>
      </w:r>
    </w:p>
    <w:p>
      <w:pPr>
        <w:pStyle w:val="ListParagraph"/>
        <w:numPr>
          <w:ilvl w:val="0"/>
          <w:numId w:val="1"/>
        </w:numPr>
        <w:ind w:left="360"/>
      </w:pPr>
      <w:r>
        <w:rPr>
          <w:rFonts w:ascii="Calibri" w:cs="Calibri" w:eastAsia="Calibri" w:hAnsi="Calibri"/>
        </w:rPr>
        <w:t xml:space="preserve">Breach of these terms will result in immediate termination of the hire, without refund, and consideration of referral to the police or Prevent team.</w:t>
      </w:r>
    </w:p>
    <w:p>
      <w:pPr>
        <w:pStyle w:val="ListParagraph"/>
        <w:numPr>
          <w:ilvl w:val="0"/>
          <w:numId w:val="1"/>
        </w:numPr>
        <w:ind w:left="360"/>
      </w:pPr>
      <w:r>
        <w:rPr>
          <w:rFonts w:ascii="Calibri" w:cs="Calibri" w:eastAsia="Calibri" w:hAnsi="Calibri"/>
        </w:rPr>
        <w:t xml:space="preserve">Subcontracted delivery partners and employers hosting Academy-arranged speaker activity are subject to the same requirements, monitored through the Academy's subcontracting and employer engagement arrangements.</w:t>
      </w:r>
    </w:p>
    <w:p/>
    <w:p>
      <w:pPr>
        <w:pStyle w:val="Heading2"/>
        <w:rPr>
          <w:rFonts w:ascii="Calibri" w:cs="Calibri" w:eastAsia="Calibri" w:hAnsi="Calibri"/>
        </w:rPr>
      </w:pPr>
      <w:r>
        <w:t xml:space="preserve">16. On the day arrangements</w:t>
      </w:r>
    </w:p>
    <w:p/>
    <w:p>
      <w:pPr>
        <w:pStyle w:val="ListParagraph"/>
        <w:numPr>
          <w:ilvl w:val="0"/>
          <w:numId w:val="1"/>
        </w:numPr>
        <w:ind w:left="360"/>
      </w:pPr>
      <w:r>
        <w:rPr>
          <w:rFonts w:ascii="Calibri" w:cs="Calibri" w:eastAsia="Calibri" w:hAnsi="Calibri"/>
        </w:rPr>
        <w:t xml:space="preserve">All speakers sign in and out at reception, present photographic identification for verification, and wear a visitor badge that is visible at all times.</w:t>
      </w:r>
    </w:p>
    <w:p>
      <w:pPr>
        <w:pStyle w:val="ListParagraph"/>
        <w:numPr>
          <w:ilvl w:val="0"/>
          <w:numId w:val="1"/>
        </w:numPr>
        <w:ind w:left="360"/>
      </w:pPr>
      <w:r>
        <w:rPr>
          <w:rFonts w:ascii="Calibri" w:cs="Calibri" w:eastAsia="Calibri" w:hAnsi="Calibri"/>
        </w:rPr>
        <w:t xml:space="preserve">The organiser or supervising staff member meets the speaker on arrival, gives a safeguarding, Prevent, fire and site safety briefing, confirms the agreed content, and remains with the speaker for the full duration.</w:t>
      </w:r>
    </w:p>
    <w:p>
      <w:pPr>
        <w:pStyle w:val="ListParagraph"/>
        <w:numPr>
          <w:ilvl w:val="0"/>
          <w:numId w:val="1"/>
        </w:numPr>
        <w:ind w:left="360"/>
      </w:pPr>
      <w:r>
        <w:rPr>
          <w:rFonts w:ascii="Calibri" w:cs="Calibri" w:eastAsia="Calibri" w:hAnsi="Calibri"/>
        </w:rPr>
        <w:t xml:space="preserve">Attendance is recorded, including the names of any accompanying representatives; no undeclared additional representative may attend without DSL approval.</w:t>
      </w:r>
    </w:p>
    <w:p>
      <w:pPr>
        <w:pStyle w:val="ListParagraph"/>
        <w:numPr>
          <w:ilvl w:val="0"/>
          <w:numId w:val="1"/>
        </w:numPr>
        <w:ind w:left="360"/>
      </w:pPr>
      <w:r>
        <w:rPr>
          <w:rFonts w:ascii="Calibri" w:cs="Calibri" w:eastAsia="Calibri" w:hAnsi="Calibri"/>
        </w:rPr>
        <w:t xml:space="preserve">Staff intervene immediately and, if necessary, halt the session where content or conduct departs from what was approved, and report to the DSL the same day.</w:t>
      </w:r>
    </w:p>
    <w:p>
      <w:pPr>
        <w:pStyle w:val="ListParagraph"/>
        <w:numPr>
          <w:ilvl w:val="0"/>
          <w:numId w:val="1"/>
        </w:numPr>
        <w:ind w:left="360"/>
      </w:pPr>
      <w:r>
        <w:rPr>
          <w:rFonts w:ascii="Calibri" w:cs="Calibri" w:eastAsia="Calibri" w:hAnsi="Calibri"/>
        </w:rPr>
        <w:t xml:space="preserve">Learners are reminded at the start that they may leave, may challenge respectfully, and may speak to a named member of staff or the DSL afterwards.</w:t>
      </w:r>
    </w:p>
    <w:p>
      <w:pPr>
        <w:pStyle w:val="ListParagraph"/>
        <w:numPr>
          <w:ilvl w:val="0"/>
          <w:numId w:val="1"/>
        </w:numPr>
        <w:ind w:left="360"/>
      </w:pPr>
      <w:r>
        <w:rPr>
          <w:rFonts w:ascii="Calibri" w:cs="Calibri" w:eastAsia="Calibri" w:hAnsi="Calibri"/>
        </w:rPr>
        <w:t xml:space="preserve">Speakers are escorted from the premises and signed out; no speaker remains on site after the session without approval.</w:t>
      </w:r>
    </w:p>
    <w:p/>
    <w:p>
      <w:pPr>
        <w:pStyle w:val="Heading2"/>
        <w:rPr>
          <w:rFonts w:ascii="Calibri" w:cs="Calibri" w:eastAsia="Calibri" w:hAnsi="Calibri"/>
        </w:rPr>
      </w:pPr>
      <w:r>
        <w:t xml:space="preserve">17. Concerns, incidents and referrals</w:t>
      </w:r>
    </w:p>
    <w:p/>
    <w:p>
      <w:r>
        <w:rPr>
          <w:rFonts w:ascii="Calibri" w:cs="Calibri" w:eastAsia="Calibri" w:hAnsi="Calibri"/>
        </w:rPr>
        <w:t xml:space="preserve">17.1 Any safeguarding or Prevent concern arising before, during or after a contribution must be reported to the DSL, Kirsty Watson, or the Deputy DSL, Shabnum Sadiq, immediately and on the same working day, using the Academy's reporting route. Contact details are as published in the Safeguarding and Prevent Policy V3:SPP2022.</w:t>
      </w:r>
    </w:p>
    <w:p/>
    <w:p>
      <w:r>
        <w:rPr>
          <w:rFonts w:ascii="Calibri" w:cs="Calibri" w:eastAsia="Calibri" w:hAnsi="Calibri"/>
        </w:rPr>
        <w:t xml:space="preserve">17.2 The DSL will decide and record the response, which may include: no further action with rationale; internal support and monitoring; a Prevent referral and consideration for Channel; a referral to children's social care under Working together to safeguard children 2026; a section 42 adult safeguarding enquiry under the Care Act 2014; a referral to the local authority designated officer where the concern relates to an adult who has worked with learners; a police report where a criminal offence may have occurred; and a Disclosure and Barring Service referral where an individual may pose a risk of harm.</w:t>
      </w:r>
    </w:p>
    <w:p/>
    <w:p>
      <w:r>
        <w:rPr>
          <w:rFonts w:ascii="Calibri" w:cs="Calibri" w:eastAsia="Calibri" w:hAnsi="Calibri"/>
        </w:rPr>
        <w:t xml:space="preserve">17.3 Serious incidents will be reported to the Managing Director and the Board without delay, and to Ofsted and the Department for Education where reporting requirements apply. All incidents are recorded on the External Speaker Register and reviewed for lessons learned.</w:t>
      </w:r>
    </w:p>
    <w:p/>
    <w:p>
      <w:r>
        <w:rPr>
          <w:rFonts w:ascii="Calibri" w:cs="Calibri" w:eastAsia="Calibri" w:hAnsi="Calibri"/>
        </w:rPr>
        <w:t xml:space="preserve">17.4 Learners, staff and parents or carers of learners under 18 may raise concerns about a speaker at any time through the Academy's complaints and safeguarding routes, without fear of detriment.</w:t>
      </w:r>
    </w:p>
    <w:p/>
    <w:p>
      <w:pPr>
        <w:pStyle w:val="Heading2"/>
        <w:rPr>
          <w:rFonts w:ascii="Calibri" w:cs="Calibri" w:eastAsia="Calibri" w:hAnsi="Calibri"/>
        </w:rPr>
      </w:pPr>
      <w:r>
        <w:t xml:space="preserve">18. Post-event review and evaluation</w:t>
      </w:r>
    </w:p>
    <w:p/>
    <w:p>
      <w:r>
        <w:rPr>
          <w:rFonts w:ascii="Calibri" w:cs="Calibri" w:eastAsia="Calibri" w:hAnsi="Calibri"/>
        </w:rPr>
        <w:t xml:space="preserve">18.1 The organiser must complete Appendix 4 within five working days of the event. The review records whether the content delivered matched the content approved, whether the intended learning outcomes were achieved, learner feedback and voice, any concerns raised or disclosures made, any distress observed and the support provided, and a recommendation on future use of the speaker.</w:t>
      </w:r>
    </w:p>
    <w:p/>
    <w:p>
      <w:r>
        <w:rPr>
          <w:rFonts w:ascii="Calibri" w:cs="Calibri" w:eastAsia="Calibri" w:hAnsi="Calibri"/>
        </w:rPr>
        <w:t xml:space="preserve">18.2 The DSL maintains an approved and refused speaker list informed by these reviews. Approval lapses after 12 months and after any change of audience, topic or organisation.</w:t>
      </w:r>
    </w:p>
    <w:p/>
    <w:p>
      <w:pPr>
        <w:pStyle w:val="Heading2"/>
        <w:rPr>
          <w:rFonts w:ascii="Calibri" w:cs="Calibri" w:eastAsia="Calibri" w:hAnsi="Calibri"/>
        </w:rPr>
      </w:pPr>
      <w:r>
        <w:t xml:space="preserve">19. Records, the Single Central Record and data protection</w:t>
      </w:r>
    </w:p>
    <w:p/>
    <w:p>
      <w:r>
        <w:rPr>
          <w:rFonts w:ascii="Calibri" w:cs="Calibri" w:eastAsia="Calibri" w:hAnsi="Calibri"/>
        </w:rPr>
        <w:t xml:space="preserve">19.1 The DSL maintains an External Speaker Register recording, for every request: speaker and organisation; date, venue and audience; topic; due diligence evidence and sources; vetting tier and evidence obtained; identity verification; risk assessment reference; decision, decision maker and date; any conditions imposed; incidents; and post-event review outcome. Refusals and expedited approvals are recorded with reasons.</w:t>
      </w:r>
    </w:p>
    <w:p/>
    <w:p>
      <w:r>
        <w:rPr>
          <w:rFonts w:ascii="Calibri" w:cs="Calibri" w:eastAsia="Calibri" w:hAnsi="Calibri"/>
        </w:rPr>
        <w:t xml:space="preserve">19.2 Where an enhanced DBS check with barred list information is obtained or verified for a Tier 3 speaker, the entry is made on the Single Central Record in line with the Safeguarding and Prevent Policy V3:SPP2022 and Kirklees Council guidance, alongside identity, right to work where applicable, mandatory training and risk assessment information.</w:t>
      </w:r>
    </w:p>
    <w:p/>
    <w:p>
      <w:r>
        <w:rPr>
          <w:rFonts w:ascii="Calibri" w:cs="Calibri" w:eastAsia="Calibri" w:hAnsi="Calibri"/>
        </w:rPr>
        <w:t xml:space="preserve">19.3 All personal data is processed in accordance with the UK General Data Protection Regulation and the Data Protection Act 2018. Only the minimum necessary data is collected; the lawful basis is the performance of a public task and compliance with legal obligations, with safeguarding data treated as a substantial public interest condition. DBS certificate content is not retained beyond six months other than the record of the check on the Single Central Record. Register and review records are retained in line with the Academy's retention schedule, and safeguarding records are retained in accordance with the Safeguarding and Prevent Policy. Speakers are provided with privacy information at the point their data is collected.</w:t>
      </w:r>
    </w:p>
    <w:p/>
    <w:p>
      <w:pPr>
        <w:pStyle w:val="Heading2"/>
        <w:rPr>
          <w:rFonts w:ascii="Calibri" w:cs="Calibri" w:eastAsia="Calibri" w:hAnsi="Calibri"/>
        </w:rPr>
      </w:pPr>
      <w:r>
        <w:t xml:space="preserve">20. Training, awareness and quality assurance</w:t>
      </w:r>
    </w:p>
    <w:p/>
    <w:p>
      <w:pPr>
        <w:pStyle w:val="ListParagraph"/>
        <w:numPr>
          <w:ilvl w:val="0"/>
          <w:numId w:val="1"/>
        </w:numPr>
        <w:ind w:left="360"/>
      </w:pPr>
      <w:r>
        <w:rPr>
          <w:rFonts w:ascii="Calibri" w:cs="Calibri" w:eastAsia="Calibri" w:hAnsi="Calibri"/>
        </w:rPr>
        <w:t xml:space="preserve">All staff receive briefing on this policy at induction and at least annually as part of safeguarding and Prevent updates, including the vetting tiers and the withdrawal of the Associate pass route.</w:t>
      </w:r>
    </w:p>
    <w:p>
      <w:pPr>
        <w:pStyle w:val="ListParagraph"/>
        <w:numPr>
          <w:ilvl w:val="0"/>
          <w:numId w:val="1"/>
        </w:numPr>
        <w:ind w:left="360"/>
      </w:pPr>
      <w:r>
        <w:rPr>
          <w:rFonts w:ascii="Calibri" w:cs="Calibri" w:eastAsia="Calibri" w:hAnsi="Calibri"/>
        </w:rPr>
        <w:t xml:space="preserve">Staff who host or supervise speakers receive additional briefing on due diligence, content review, supervision and stop conditions.</w:t>
      </w:r>
    </w:p>
    <w:p>
      <w:pPr>
        <w:pStyle w:val="ListParagraph"/>
        <w:numPr>
          <w:ilvl w:val="0"/>
          <w:numId w:val="1"/>
        </w:numPr>
        <w:ind w:left="360"/>
      </w:pPr>
      <w:r>
        <w:rPr>
          <w:rFonts w:ascii="Calibri" w:cs="Calibri" w:eastAsia="Calibri" w:hAnsi="Calibri"/>
        </w:rPr>
        <w:t xml:space="preserve">The DSL and Deputy DSL maintain current Prevent and Channel awareness training and safer recruitment training, re-accredited at least every three years.</w:t>
      </w:r>
    </w:p>
    <w:p>
      <w:pPr>
        <w:pStyle w:val="ListParagraph"/>
        <w:numPr>
          <w:ilvl w:val="0"/>
          <w:numId w:val="1"/>
        </w:numPr>
        <w:ind w:left="360"/>
      </w:pPr>
      <w:r>
        <w:rPr>
          <w:rFonts w:ascii="Calibri" w:cs="Calibri" w:eastAsia="Calibri" w:hAnsi="Calibri"/>
        </w:rPr>
        <w:t xml:space="preserve">Learners are taught, through the curriculum and tutorial offer, how to challenge extremist narratives, recognise radicalisation and report concerns, supporting the personal development expectations in the Ofsted further education and skills inspection toolkit.</w:t>
      </w:r>
    </w:p>
    <w:p>
      <w:pPr>
        <w:pStyle w:val="ListParagraph"/>
        <w:numPr>
          <w:ilvl w:val="0"/>
          <w:numId w:val="1"/>
        </w:numPr>
        <w:ind w:left="360"/>
      </w:pPr>
      <w:r>
        <w:rPr>
          <w:rFonts w:ascii="Calibri" w:cs="Calibri" w:eastAsia="Calibri" w:hAnsi="Calibri"/>
        </w:rPr>
        <w:t xml:space="preserve">The DSL samples completed Appendix 1 forms, due diligence records and post-event reviews at least termly, and reports findings to the Senior Leadership Team.</w:t>
      </w:r>
    </w:p>
    <w:p>
      <w:pPr>
        <w:pStyle w:val="ListParagraph"/>
        <w:numPr>
          <w:ilvl w:val="0"/>
          <w:numId w:val="1"/>
        </w:numPr>
        <w:ind w:left="360"/>
      </w:pPr>
      <w:r>
        <w:rPr>
          <w:rFonts w:ascii="Calibri" w:cs="Calibri" w:eastAsia="Calibri" w:hAnsi="Calibri"/>
        </w:rPr>
        <w:t xml:space="preserve">External speaker activity is included in the annual safeguarding self-assessment and improvement plan.</w:t>
      </w:r>
    </w:p>
    <w:p/>
    <w:p>
      <w:pPr>
        <w:pStyle w:val="Heading2"/>
        <w:rPr>
          <w:rFonts w:ascii="Calibri" w:cs="Calibri" w:eastAsia="Calibri" w:hAnsi="Calibri"/>
        </w:rPr>
      </w:pPr>
      <w:r>
        <w:t xml:space="preserve">21. Governance and reporting</w:t>
      </w:r>
    </w:p>
    <w:p/>
    <w:p>
      <w:r>
        <w:rPr>
          <w:rFonts w:ascii="Calibri" w:cs="Calibri" w:eastAsia="Calibri" w:hAnsi="Calibri"/>
        </w:rPr>
        <w:t xml:space="preserve">21.1 The DSL provides a termly report to the Board of Directors covering the volume of external speaker activity, vetting tiers applied, refusals and reasons, expedited approvals, incidents and referrals, learner feedback themes, and actions taken. The Board records its scrutiny and challenge in the minutes, providing the evidence of effective governance oversight that inspection will look for.</w:t>
      </w:r>
    </w:p>
    <w:p/>
    <w:p>
      <w:pPr>
        <w:pStyle w:val="Heading2"/>
        <w:rPr>
          <w:rFonts w:ascii="Calibri" w:cs="Calibri" w:eastAsia="Calibri" w:hAnsi="Calibri"/>
        </w:rPr>
      </w:pPr>
      <w:r>
        <w:t xml:space="preserve">22. Review</w:t>
      </w:r>
    </w:p>
    <w:p/>
    <w:p>
      <w:r>
        <w:rPr>
          <w:rFonts w:ascii="Calibri" w:cs="Calibri" w:eastAsia="Calibri" w:hAnsi="Calibri"/>
        </w:rPr>
        <w:t xml:space="preserve">22.1 This policy is reviewed annually by the DSL and approved by the Board, and immediately following any change in legislation or statutory guidance, any serious incident, any Prevent referral arising from speaker activity, or any inspection recommendation. Version control is maintained in the change history record.</w:t>
      </w:r>
    </w:p>
    <w:p/>
    <w:p>
      <w:r>
        <w:rPr>
          <w:rFonts w:ascii="Calibri" w:cs="Calibri" w:eastAsia="Calibri" w:hAnsi="Calibri"/>
        </w:rPr>
        <w:t xml:space="preserve">22.2 This policy is intended as internal procedural guidance and does not constitute legal advice. Where a specific case raises legal questions, the Managing Director will seek appropriate professional advice.</w:t>
      </w:r>
    </w:p>
    <w:p/>
    <w:p>
      <w:r>
        <w:br w:type="page"/>
      </w:r>
    </w:p>
    <w:p/>
    <w:p>
      <w:pPr>
        <w:pStyle w:val="Heading2"/>
        <w:rPr>
          <w:rFonts w:ascii="Calibri" w:cs="Calibri" w:eastAsia="Calibri" w:hAnsi="Calibri"/>
        </w:rPr>
      </w:pPr>
      <w:r>
        <w:t xml:space="preserve">Appendix 1 — External Speaker Approval, Suitability and Risk Assessment Form</w:t>
      </w:r>
    </w:p>
    <w:p/>
    <w:p>
      <w:r>
        <w:rPr>
          <w:rFonts w:ascii="Calibri" w:cs="Calibri" w:eastAsia="Calibri" w:hAnsi="Calibri"/>
        </w:rPr>
        <w:t xml:space="preserve">One form per speaker, per event. Submit to the DSL no later than 15 working days before the proposed date. Incomplete forms will be returned.</w:t>
      </w:r>
    </w:p>
    <w:p/>
    <w:p>
      <w:pPr>
        <w:pStyle w:val="Heading3"/>
        <w:rPr>
          <w:rFonts w:ascii="Calibri" w:cs="Calibri" w:eastAsia="Calibri" w:hAnsi="Calibri"/>
        </w:rPr>
      </w:pPr>
      <w:r>
        <w:t xml:space="preserve">Part A — Request details</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1F3864"/>
          </w:tcPr>
          <w:p>
            <w:r>
              <w:rPr>
                <w:rFonts w:ascii="Calibri" w:cs="Calibri" w:eastAsia="Calibri" w:hAnsi="Calibri"/>
                <w:b/>
                <w:bCs/>
                <w:color w:val="FFFFFF"/>
              </w:rPr>
              <w:t xml:space="preserve">Field</w:t>
            </w:r>
          </w:p>
        </w:tc>
        <w:tc>
          <w:tcPr>
            <w:tcW w:type="pct" w:w="50%"/>
            <w:shd w:fill="1F3864"/>
          </w:tcPr>
          <w:p>
            <w:r>
              <w:rPr>
                <w:rFonts w:ascii="Calibri" w:cs="Calibri" w:eastAsia="Calibri" w:hAnsi="Calibri"/>
                <w:b/>
                <w:bCs/>
                <w:color w:val="FFFFFF"/>
              </w:rPr>
              <w:t xml:space="preserve">Response</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Organiser name, role and contact</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Programme, curriculum area or department</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Proposed date, start and end time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Venue, or platform if online, and room capacity</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Format: in person / live stream / pre-recorded / one-to-one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Topic and title of contribution</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Audience: programmes, number of learners, age range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Number of learners under 18</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Number of learners identified as adults at risk</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Known individual vulnerabilities relevant to the topic (summary only)</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External attendees present? If yes, who</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bl>
    <w:p/>
    <w:p>
      <w:pPr>
        <w:pStyle w:val="Heading3"/>
        <w:rPr>
          <w:rFonts w:ascii="Calibri" w:cs="Calibri" w:eastAsia="Calibri" w:hAnsi="Calibri"/>
        </w:rPr>
      </w:pPr>
      <w:r>
        <w:t xml:space="preserve">Part B — Speaker and organisation details</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1F3864"/>
          </w:tcPr>
          <w:p>
            <w:r>
              <w:rPr>
                <w:rFonts w:ascii="Calibri" w:cs="Calibri" w:eastAsia="Calibri" w:hAnsi="Calibri"/>
                <w:b/>
                <w:bCs/>
                <w:color w:val="FFFFFF"/>
              </w:rPr>
              <w:t xml:space="preserve">Field</w:t>
            </w:r>
          </w:p>
        </w:tc>
        <w:tc>
          <w:tcPr>
            <w:tcW w:type="pct" w:w="50%"/>
            <w:shd w:fill="1F3864"/>
          </w:tcPr>
          <w:p>
            <w:r>
              <w:rPr>
                <w:rFonts w:ascii="Calibri" w:cs="Calibri" w:eastAsia="Calibri" w:hAnsi="Calibri"/>
                <w:b/>
                <w:bCs/>
                <w:color w:val="FFFFFF"/>
              </w:rPr>
              <w:t xml:space="preserve">Response</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Speaker full name and title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Any other names used, current or previous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Date of birth (for check purposes, where required)</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Organisation represented and its role or sector</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Organisation address and postcode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Organisation website and social media handles reviewed</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Registered charity or company number, if applicable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Speaker direct telephone and email</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Organisation telephone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Other organisations the speaker is affiliated with</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Names and roles of all accompanying representatives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Named deputy speaker, if any (requires separate approval)</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Has the speaker addressed Qualia Academy learners before? Date and outcome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Has the speaker addressed another institution? Any protest, public order, illegal activity, significant media interest, complaint or refusal?</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Fee or expenses payable, and purchase request reference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bl>
    <w:p/>
    <w:p>
      <w:pPr>
        <w:pStyle w:val="Heading3"/>
        <w:rPr>
          <w:rFonts w:ascii="Calibri" w:cs="Calibri" w:eastAsia="Calibri" w:hAnsi="Calibri"/>
        </w:rPr>
      </w:pPr>
      <w:r>
        <w:t xml:space="preserve">Part C — Educational value, content and age appropriateness (Programme Lead)</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1F3864"/>
          </w:tcPr>
          <w:p>
            <w:r>
              <w:rPr>
                <w:rFonts w:ascii="Calibri" w:cs="Calibri" w:eastAsia="Calibri" w:hAnsi="Calibri"/>
                <w:b/>
                <w:bCs/>
                <w:color w:val="FFFFFF"/>
              </w:rPr>
              <w:t xml:space="preserve">Question</w:t>
            </w:r>
          </w:p>
        </w:tc>
        <w:tc>
          <w:tcPr>
            <w:tcW w:type="pct" w:w="50%"/>
            <w:shd w:fill="1F3864"/>
          </w:tcPr>
          <w:p>
            <w:r>
              <w:rPr>
                <w:rFonts w:ascii="Calibri" w:cs="Calibri" w:eastAsia="Calibri" w:hAnsi="Calibri"/>
                <w:b/>
                <w:bCs/>
                <w:color w:val="FFFFFF"/>
              </w:rPr>
              <w:t xml:space="preserve">Response</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Intended learning outcomes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Link to curriculum, off-the-job training, personal development, careers or safeguarding education</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Have all slides, handouts, films, activities and signposted resources been reviewed in advance? Date reviewed and by whom</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Confirmation that content is age and stage appropriate for this audience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Sensitive content present? If yes, describe and state the controls, advance notice, opt-out and support arrangements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Reasonable adjustments and accessibility arrangements (Equality Act 2010, s.149)</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Is the topic contested or political? How will balance be secured (Education Act 1996, ss.406-407)?</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How will learners be prepared beforehand and the learning reinforced afterwards?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Programme Lead name, signature and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bl>
    <w:p/>
    <w:p>
      <w:pPr>
        <w:pStyle w:val="Heading3"/>
        <w:rPr>
          <w:rFonts w:ascii="Calibri" w:cs="Calibri" w:eastAsia="Calibri" w:hAnsi="Calibri"/>
        </w:rPr>
      </w:pPr>
      <w:r>
        <w:t xml:space="preserve">Part D — Due diligence and risk assessment (Organiser, verified by DSL)</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1F3864"/>
          </w:tcPr>
          <w:p>
            <w:r>
              <w:rPr>
                <w:rFonts w:ascii="Calibri" w:cs="Calibri" w:eastAsia="Calibri" w:hAnsi="Calibri"/>
                <w:b/>
                <w:bCs/>
                <w:color w:val="FFFFFF"/>
              </w:rPr>
              <w:t xml:space="preserve">Check or risk</w:t>
            </w:r>
          </w:p>
        </w:tc>
        <w:tc>
          <w:tcPr>
            <w:tcW w:type="pct" w:w="50%"/>
            <w:shd w:fill="1F3864"/>
          </w:tcPr>
          <w:p>
            <w:r>
              <w:rPr>
                <w:rFonts w:ascii="Calibri" w:cs="Calibri" w:eastAsia="Calibri" w:hAnsi="Calibri"/>
                <w:b/>
                <w:bCs/>
                <w:color w:val="FFFFFF"/>
              </w:rPr>
              <w:t xml:space="preserve">Evidence, findings and controls</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Open-source search of speaker and all known names — sources used and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Organisation and published materials reviewed — findings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Home Office proscribed organisations list checked — date and outcome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Charity Commission / Companies House checked, where applicable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Any Section 9.2 escalation triggers identified? Detail</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Safeguarding risk and controls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Prevent and radicalisation risk and controls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Content and learner distress risk and controls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Supervision arrangements: named supervising staff and DBS confirmation</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Venue, capacity, fire, first aid and site security</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Protest, media and reputational risk and controls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Online, streaming and platform controls, if applicable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Data protection: recording, photography, consent and lawful basis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Stop conditions — the circumstances in which the session will be halted</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Standalone risk assessment required? If yes, reference number</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bl>
    <w:p/>
    <w:p>
      <w:pPr>
        <w:pStyle w:val="Heading3"/>
        <w:rPr>
          <w:rFonts w:ascii="Calibri" w:cs="Calibri" w:eastAsia="Calibri" w:hAnsi="Calibri"/>
        </w:rPr>
      </w:pPr>
      <w:r>
        <w:t xml:space="preserve">Part E — Vetting and identity</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1F3864"/>
          </w:tcPr>
          <w:p>
            <w:r>
              <w:rPr>
                <w:rFonts w:ascii="Calibri" w:cs="Calibri" w:eastAsia="Calibri" w:hAnsi="Calibri"/>
                <w:b/>
                <w:bCs/>
                <w:color w:val="FFFFFF"/>
              </w:rPr>
              <w:t xml:space="preserve">Field</w:t>
            </w:r>
          </w:p>
        </w:tc>
        <w:tc>
          <w:tcPr>
            <w:tcW w:type="pct" w:w="50%"/>
            <w:shd w:fill="1F3864"/>
          </w:tcPr>
          <w:p>
            <w:r>
              <w:rPr>
                <w:rFonts w:ascii="Calibri" w:cs="Calibri" w:eastAsia="Calibri" w:hAnsi="Calibri"/>
                <w:b/>
                <w:bCs/>
                <w:color w:val="FFFFFF"/>
              </w:rPr>
              <w:t xml:space="preserve">Response</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Proposed vetting tier (1 / 2 / 3 / 4)</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Rationale for tier, including whether contact is frequent or on more than three days in any 30-day period</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Photographic identity document type, verified by whom, and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Written assurance received from employing organisation? Date and signatory</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Enhanced DBS with children's barred list obtained or verified? Certificate number, issue date, Update Service check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Overseas checks or prohibition from teaching check required and completed?</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Single Central Record entry made? Date and by whom</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Any disclosure or concern? If yes, risk assessment reference and Managing Director approval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bl>
    <w:p/>
    <w:p>
      <w:pPr>
        <w:pStyle w:val="Heading3"/>
        <w:rPr>
          <w:rFonts w:ascii="Calibri" w:cs="Calibri" w:eastAsia="Calibri" w:hAnsi="Calibri"/>
        </w:rPr>
      </w:pPr>
      <w:r>
        <w:t xml:space="preserve">Part F — Decision</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1F3864"/>
          </w:tcPr>
          <w:p>
            <w:r>
              <w:rPr>
                <w:rFonts w:ascii="Calibri" w:cs="Calibri" w:eastAsia="Calibri" w:hAnsi="Calibri"/>
                <w:b/>
                <w:bCs/>
                <w:color w:val="FFFFFF"/>
              </w:rPr>
              <w:t xml:space="preserve">Field</w:t>
            </w:r>
          </w:p>
        </w:tc>
        <w:tc>
          <w:tcPr>
            <w:tcW w:type="pct" w:w="50%"/>
            <w:shd w:fill="1F3864"/>
          </w:tcPr>
          <w:p>
            <w:r>
              <w:rPr>
                <w:rFonts w:ascii="Calibri" w:cs="Calibri" w:eastAsia="Calibri" w:hAnsi="Calibri"/>
                <w:b/>
                <w:bCs/>
                <w:color w:val="FFFFFF"/>
              </w:rPr>
              <w:t xml:space="preserve">Response</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External Speaker Agreement (Appendix 2) signed and returned?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Decision: approve unrestricted / approve with conditions / refuse speaker / refuse event</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Conditions imposed</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Rationale for decision</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External advice sought (Prevent coordinator, LADO, police, safeguarding partnership) and outcome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DSL or Deputy DSL name, signature and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Escalated to Managing Director? Decision, name, signature and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Approval reference and expiry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Entered on External Speaker Register?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bl>
    <w:p/>
    <w:p>
      <w:r>
        <w:br w:type="page"/>
      </w:r>
    </w:p>
    <w:p/>
    <w:p>
      <w:pPr>
        <w:pStyle w:val="Heading2"/>
        <w:rPr>
          <w:rFonts w:ascii="Calibri" w:cs="Calibri" w:eastAsia="Calibri" w:hAnsi="Calibri"/>
        </w:rPr>
      </w:pPr>
      <w:r>
        <w:t xml:space="preserve">Appendix 2 — External Speaker Agreement</w:t>
      </w:r>
    </w:p>
    <w:p/>
    <w:p>
      <w:r>
        <w:rPr>
          <w:rFonts w:ascii="Calibri" w:cs="Calibri" w:eastAsia="Calibri" w:hAnsi="Calibri"/>
        </w:rPr>
        <w:t xml:space="preserve">To be signed by the speaker and returned before the contribution is confirmed.</w:t>
      </w:r>
    </w:p>
    <w:p/>
    <w:p>
      <w:r>
        <w:rPr>
          <w:rFonts w:ascii="Calibri" w:cs="Calibri" w:eastAsia="Calibri" w:hAnsi="Calibri"/>
        </w:rPr>
        <w:t xml:space="preserve">I confirm that I have read the Qualia Academy Guest Speakers Policy and Procedure (V2:LDP2026) and the summary of the Qualia Academy Safeguarding and Prevent Policy provided to me, and that I agree to the following.</w:t>
      </w:r>
    </w:p>
    <w:p/>
    <w:p>
      <w:pPr>
        <w:pStyle w:val="ListParagraph"/>
        <w:numPr>
          <w:ilvl w:val="0"/>
          <w:numId w:val="2"/>
        </w:numPr>
      </w:pPr>
      <w:r>
        <w:rPr>
          <w:rFonts w:ascii="Calibri" w:cs="Calibri" w:eastAsia="Calibri" w:hAnsi="Calibri"/>
        </w:rPr>
        <w:t xml:space="preserve">I will abide by the law and by Qualia Academy policies throughout my contribution.</w:t>
      </w:r>
    </w:p>
    <w:p>
      <w:pPr>
        <w:pStyle w:val="ListParagraph"/>
        <w:numPr>
          <w:ilvl w:val="0"/>
          <w:numId w:val="2"/>
        </w:numPr>
      </w:pPr>
      <w:r>
        <w:rPr>
          <w:rFonts w:ascii="Calibri" w:cs="Calibri" w:eastAsia="Calibri" w:hAnsi="Calibri"/>
        </w:rPr>
        <w:t xml:space="preserve">I will not advocate, incite or condone hatred, violence, discrimination, harassment or the breaking of the law.</w:t>
      </w:r>
    </w:p>
    <w:p>
      <w:pPr>
        <w:pStyle w:val="ListParagraph"/>
        <w:numPr>
          <w:ilvl w:val="0"/>
          <w:numId w:val="2"/>
        </w:numPr>
      </w:pPr>
      <w:r>
        <w:rPr>
          <w:rFonts w:ascii="Calibri" w:cs="Calibri" w:eastAsia="Calibri" w:hAnsi="Calibri"/>
        </w:rPr>
        <w:t xml:space="preserve">I will not encourage, glorify, promote or express support for terrorism, or for any proscribed organisation or any individual associated with such acts.</w:t>
      </w:r>
    </w:p>
    <w:p>
      <w:pPr>
        <w:pStyle w:val="ListParagraph"/>
        <w:numPr>
          <w:ilvl w:val="0"/>
          <w:numId w:val="2"/>
        </w:numPr>
      </w:pPr>
      <w:r>
        <w:rPr>
          <w:rFonts w:ascii="Calibri" w:cs="Calibri" w:eastAsia="Calibri" w:hAnsi="Calibri"/>
        </w:rPr>
        <w:t xml:space="preserve">I will not act in a way that spreads intolerance or undermines community cohesion or fundamental British values.</w:t>
      </w:r>
    </w:p>
    <w:p>
      <w:pPr>
        <w:pStyle w:val="ListParagraph"/>
        <w:numPr>
          <w:ilvl w:val="0"/>
          <w:numId w:val="2"/>
        </w:numPr>
      </w:pPr>
      <w:r>
        <w:rPr>
          <w:rFonts w:ascii="Calibri" w:cs="Calibri" w:eastAsia="Calibri" w:hAnsi="Calibri"/>
        </w:rPr>
        <w:t xml:space="preserve">I will deliver only the content agreed in advance and will not introduce materially different material.</w:t>
      </w:r>
    </w:p>
    <w:p>
      <w:pPr>
        <w:pStyle w:val="ListParagraph"/>
        <w:numPr>
          <w:ilvl w:val="0"/>
          <w:numId w:val="2"/>
        </w:numPr>
      </w:pPr>
      <w:r>
        <w:rPr>
          <w:rFonts w:ascii="Calibri" w:cs="Calibri" w:eastAsia="Calibri" w:hAnsi="Calibri"/>
        </w:rPr>
        <w:t xml:space="preserve">I will not promote partisan political views to learners, and I understand that where political issues arise a balanced presentation will be secured.</w:t>
      </w:r>
    </w:p>
    <w:p>
      <w:pPr>
        <w:pStyle w:val="ListParagraph"/>
        <w:numPr>
          <w:ilvl w:val="0"/>
          <w:numId w:val="2"/>
        </w:numPr>
      </w:pPr>
      <w:r>
        <w:rPr>
          <w:rFonts w:ascii="Calibri" w:cs="Calibri" w:eastAsia="Calibri" w:hAnsi="Calibri"/>
        </w:rPr>
        <w:t xml:space="preserve">I will not raise or gather funds, recruit members, promote commercial products or collect learner personal data without prior written permission.</w:t>
      </w:r>
    </w:p>
    <w:p>
      <w:pPr>
        <w:pStyle w:val="ListParagraph"/>
        <w:numPr>
          <w:ilvl w:val="0"/>
          <w:numId w:val="2"/>
        </w:numPr>
      </w:pPr>
      <w:r>
        <w:rPr>
          <w:rFonts w:ascii="Calibri" w:cs="Calibri" w:eastAsia="Calibri" w:hAnsi="Calibri"/>
        </w:rPr>
        <w:t xml:space="preserve">I will remain with the supervising member of staff at all times and will not seek unsupervised contact with any learner.</w:t>
      </w:r>
    </w:p>
    <w:p>
      <w:pPr>
        <w:pStyle w:val="ListParagraph"/>
        <w:numPr>
          <w:ilvl w:val="0"/>
          <w:numId w:val="2"/>
        </w:numPr>
      </w:pPr>
      <w:r>
        <w:rPr>
          <w:rFonts w:ascii="Calibri" w:cs="Calibri" w:eastAsia="Calibri" w:hAnsi="Calibri"/>
        </w:rPr>
        <w:t xml:space="preserve">I will not exchange personal contact details with learners or connect with them on personal social media, and I will not photograph, film or record learners without prior written consent.</w:t>
      </w:r>
    </w:p>
    <w:p>
      <w:pPr>
        <w:pStyle w:val="ListParagraph"/>
        <w:numPr>
          <w:ilvl w:val="0"/>
          <w:numId w:val="2"/>
        </w:numPr>
      </w:pPr>
      <w:r>
        <w:rPr>
          <w:rFonts w:ascii="Calibri" w:cs="Calibri" w:eastAsia="Calibri" w:hAnsi="Calibri"/>
        </w:rPr>
        <w:t xml:space="preserve">I will immediately report any safeguarding, Prevent, exploitation or online safety concern to the supervising staff member or the Designated Safeguarding Lead.</w:t>
      </w:r>
    </w:p>
    <w:p>
      <w:pPr>
        <w:pStyle w:val="ListParagraph"/>
        <w:numPr>
          <w:ilvl w:val="0"/>
          <w:numId w:val="2"/>
        </w:numPr>
      </w:pPr>
      <w:r>
        <w:rPr>
          <w:rFonts w:ascii="Calibri" w:cs="Calibri" w:eastAsia="Calibri" w:hAnsi="Calibri"/>
        </w:rPr>
        <w:t xml:space="preserve">I will comply with site safety, fire, security, signing-in and identification requirements.</w:t>
      </w:r>
    </w:p>
    <w:p>
      <w:pPr>
        <w:pStyle w:val="ListParagraph"/>
        <w:numPr>
          <w:ilvl w:val="0"/>
          <w:numId w:val="2"/>
        </w:numPr>
      </w:pPr>
      <w:r>
        <w:rPr>
          <w:rFonts w:ascii="Calibri" w:cs="Calibri" w:eastAsia="Calibri" w:hAnsi="Calibri"/>
        </w:rPr>
        <w:t xml:space="preserve">I understand that Qualia Academy may observe, record, curtail or terminate my contribution at any point, and that breach of this Agreement may result in removal from the premises and referral to the police, the Prevent team, the local authority designated officer or the Disclosure and Barring Service.</w:t>
      </w:r>
    </w:p>
    <w:p>
      <w:pPr>
        <w:pStyle w:val="ListParagraph"/>
        <w:numPr>
          <w:ilvl w:val="0"/>
          <w:numId w:val="2"/>
        </w:numPr>
      </w:pPr>
      <w:r>
        <w:rPr>
          <w:rFonts w:ascii="Calibri" w:cs="Calibri" w:eastAsia="Calibri" w:hAnsi="Calibri"/>
        </w:rPr>
        <w:t xml:space="preserve">I confirm that I am not barred from working with children or with adults at risk, and that there is nothing in my background that would make me unsuitable to work with learners.</w:t>
      </w:r>
    </w:p>
    <w:p>
      <w:pPr>
        <w:pStyle w:val="ListParagraph"/>
        <w:numPr>
          <w:ilvl w:val="0"/>
          <w:numId w:val="2"/>
        </w:numPr>
      </w:pPr>
      <w:r>
        <w:rPr>
          <w:rFonts w:ascii="Calibri" w:cs="Calibri" w:eastAsia="Calibri" w:hAnsi="Calibri"/>
        </w:rPr>
        <w:t xml:space="preserve">I consent to Qualia Academy processing my personal data for the purposes of this approval, in accordance with the privacy information provided.</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1F3864"/>
          </w:tcPr>
          <w:p>
            <w:r>
              <w:rPr>
                <w:rFonts w:ascii="Calibri" w:cs="Calibri" w:eastAsia="Calibri" w:hAnsi="Calibri"/>
                <w:b/>
                <w:bCs/>
                <w:color w:val="FFFFFF"/>
              </w:rPr>
              <w:t xml:space="preserve">Field</w:t>
            </w:r>
          </w:p>
        </w:tc>
        <w:tc>
          <w:tcPr>
            <w:tcW w:type="pct" w:w="50%"/>
            <w:shd w:fill="1F3864"/>
          </w:tcPr>
          <w:p>
            <w:r>
              <w:rPr>
                <w:rFonts w:ascii="Calibri" w:cs="Calibri" w:eastAsia="Calibri" w:hAnsi="Calibri"/>
                <w:b/>
                <w:bCs/>
                <w:color w:val="FFFFFF"/>
              </w:rPr>
              <w:t xml:space="preserve">Response</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Speaker name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Organisation</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Signature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Countersigned by organiser and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bl>
    <w:p/>
    <w:p>
      <w:r>
        <w:br w:type="page"/>
      </w:r>
    </w:p>
    <w:p/>
    <w:p>
      <w:pPr>
        <w:pStyle w:val="Heading2"/>
        <w:rPr>
          <w:rFonts w:ascii="Calibri" w:cs="Calibri" w:eastAsia="Calibri" w:hAnsi="Calibri"/>
        </w:rPr>
      </w:pPr>
      <w:r>
        <w:t xml:space="preserve">Appendix 3 — Due Diligence Checklist</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1F3864"/>
          </w:tcPr>
          <w:p>
            <w:r>
              <w:rPr>
                <w:rFonts w:ascii="Calibri" w:cs="Calibri" w:eastAsia="Calibri" w:hAnsi="Calibri"/>
                <w:b/>
                <w:bCs/>
                <w:color w:val="FFFFFF"/>
              </w:rPr>
              <w:t xml:space="preserve">Check</w:t>
            </w:r>
          </w:p>
        </w:tc>
        <w:tc>
          <w:tcPr>
            <w:tcW w:type="pct" w:w="20%"/>
            <w:shd w:fill="1F3864"/>
          </w:tcPr>
          <w:p>
            <w:r>
              <w:rPr>
                <w:rFonts w:ascii="Calibri" w:cs="Calibri" w:eastAsia="Calibri" w:hAnsi="Calibri"/>
                <w:b/>
                <w:bCs/>
                <w:color w:val="FFFFFF"/>
              </w:rPr>
              <w:t xml:space="preserve">Completed (Y/N)</w:t>
            </w:r>
          </w:p>
        </w:tc>
        <w:tc>
          <w:tcPr>
            <w:tcW w:type="pct" w:w="20%"/>
            <w:shd w:fill="1F3864"/>
          </w:tcPr>
          <w:p>
            <w:r>
              <w:rPr>
                <w:rFonts w:ascii="Calibri" w:cs="Calibri" w:eastAsia="Calibri" w:hAnsi="Calibri"/>
                <w:b/>
                <w:bCs/>
                <w:color w:val="FFFFFF"/>
              </w:rPr>
              <w:t xml:space="preserve">Source or evidence</w:t>
            </w:r>
          </w:p>
        </w:tc>
        <w:tc>
          <w:tcPr>
            <w:tcW w:type="pct" w:w="20%"/>
            <w:shd w:fill="1F3864"/>
          </w:tcPr>
          <w:p>
            <w:r>
              <w:rPr>
                <w:rFonts w:ascii="Calibri" w:cs="Calibri" w:eastAsia="Calibri" w:hAnsi="Calibri"/>
                <w:b/>
                <w:bCs/>
                <w:color w:val="FFFFFF"/>
              </w:rPr>
              <w:t xml:space="preserve">Date</w:t>
            </w:r>
          </w:p>
        </w:tc>
        <w:tc>
          <w:tcPr>
            <w:tcW w:type="pct" w:w="20%"/>
            <w:shd w:fill="1F3864"/>
          </w:tcPr>
          <w:p>
            <w:r>
              <w:rPr>
                <w:rFonts w:ascii="Calibri" w:cs="Calibri" w:eastAsia="Calibri" w:hAnsi="Calibri"/>
                <w:b/>
                <w:bCs/>
                <w:color w:val="FFFFFF"/>
              </w:rPr>
              <w:t xml:space="preserve">By whom</w:t>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Speaker name searched, including all known alternative names</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Organisation name and published aims reviewed</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Organisation website and key publications reviewed</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Public social media accounts reviewed</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Open-source news and media search completed</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Home Office proscribed organisations list checked</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Charity Commission or Companies House record checked, if applicable</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Previous engagements and any reported incidents checked</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References or assurances sought from previous host institutions, where relevant</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Content and materials obtained and reviewed</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Section 9.2 escalation triggers considered and outcome recorded</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External advice sought where judgement uncertain</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Findings summarised and attached to Appendix 1 Part D</w:t>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c>
          <w:tcPr>
            <w:tcW w:type="pct" w:w="2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bl>
    <w:p/>
    <w:p>
      <w:r>
        <w:br w:type="page"/>
      </w:r>
    </w:p>
    <w:p/>
    <w:p>
      <w:pPr>
        <w:pStyle w:val="Heading2"/>
        <w:rPr>
          <w:rFonts w:ascii="Calibri" w:cs="Calibri" w:eastAsia="Calibri" w:hAnsi="Calibri"/>
        </w:rPr>
      </w:pPr>
      <w:r>
        <w:t xml:space="preserve">Appendix 4 — Post-Event Review</w:t>
      </w:r>
    </w:p>
    <w:p/>
    <w:p>
      <w:r>
        <w:rPr>
          <w:rFonts w:ascii="Calibri" w:cs="Calibri" w:eastAsia="Calibri" w:hAnsi="Calibri"/>
        </w:rPr>
        <w:t xml:space="preserve">To be completed by the organiser within five working days and returned to the DSL.</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1F3864"/>
          </w:tcPr>
          <w:p>
            <w:r>
              <w:rPr>
                <w:rFonts w:ascii="Calibri" w:cs="Calibri" w:eastAsia="Calibri" w:hAnsi="Calibri"/>
                <w:b/>
                <w:bCs/>
                <w:color w:val="FFFFFF"/>
              </w:rPr>
              <w:t xml:space="preserve">Question</w:t>
            </w:r>
          </w:p>
        </w:tc>
        <w:tc>
          <w:tcPr>
            <w:tcW w:type="pct" w:w="50%"/>
            <w:shd w:fill="1F3864"/>
          </w:tcPr>
          <w:p>
            <w:r>
              <w:rPr>
                <w:rFonts w:ascii="Calibri" w:cs="Calibri" w:eastAsia="Calibri" w:hAnsi="Calibri"/>
                <w:b/>
                <w:bCs/>
                <w:color w:val="FFFFFF"/>
              </w:rPr>
              <w:t xml:space="preserve">Response</w:t>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Speaker, organisation, date and approval reference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Did the content delivered match the content approved? If not, what differed?</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Were the intended learning outcomes achieved? Evidence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Number of learners attending; any who opted out</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Learner feedback and learner voice themes</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Any distress, discomfort or concern observed? Support provided</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Any disclosure or safeguarding or Prevent concern arising? Reported to whom and when</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Any breach of the External Speaker Agreement?</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Any health, safety, security, protest or media issue?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Was supervision maintained throughout?</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Recommendation: approve for future use / approve with conditions / do not use again</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Organiser name, signature and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r>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DSL comment, action and date</w:t>
            </w:r>
          </w:p>
        </w:tc>
        <w:tc>
          <w:tcPr>
            <w:tcW w:type="pct" w:w="50%"/>
            <w:tcBorders>
              <w:top w:val="single" w:color="CCCCCC" w:sz="1"/>
              <w:left w:val="single" w:color="CCCCCC" w:sz="1"/>
              <w:bottom w:val="single" w:color="CCCCCC" w:sz="1"/>
              <w:right w:val="single" w:color="CCCCCC" w:sz="1"/>
            </w:tcBorders>
          </w:tcPr>
          <w:p>
            <w:r>
              <w:rPr>
                <w:rFonts w:ascii="Calibri" w:cs="Calibri" w:eastAsia="Calibri" w:hAnsi="Calibri"/>
              </w:rPr>
              <w:t xml:space="preserve"/>
            </w:r>
          </w:p>
        </w:tc>
      </w:tr>
    </w:tbl>
    <w:p/>
    <w:p>
      <w:r>
        <w:br w:type="page"/>
      </w:r>
    </w:p>
    <w:p/>
    <w:p>
      <w:pPr>
        <w:pStyle w:val="Heading2"/>
        <w:rPr>
          <w:rFonts w:ascii="Calibri" w:cs="Calibri" w:eastAsia="Calibri" w:hAnsi="Calibri"/>
        </w:rPr>
      </w:pPr>
      <w:r>
        <w:t xml:space="preserve">References</w:t>
      </w:r>
    </w:p>
    <w:p/>
    <w:p>
      <w:pPr>
        <w:pStyle w:val="ListParagraph"/>
        <w:numPr>
          <w:ilvl w:val="0"/>
          <w:numId w:val="1"/>
        </w:numPr>
        <w:ind w:left="360"/>
      </w:pPr>
      <w:r>
        <w:rPr>
          <w:rFonts w:ascii="Calibri" w:cs="Calibri" w:eastAsia="Calibri" w:hAnsi="Calibri"/>
        </w:rPr>
        <w:t xml:space="preserve">Ofsted (2025) Further education and skills inspection toolkit, updated 9 September 2025 — Safeguarding, Inclusion, Leadership and governance, Participation and development (whole-provider and provision type level).</w:t>
      </w:r>
    </w:p>
    <w:p>
      <w:pPr>
        <w:pStyle w:val="ListParagraph"/>
        <w:numPr>
          <w:ilvl w:val="0"/>
          <w:numId w:val="1"/>
        </w:numPr>
        <w:ind w:left="360"/>
      </w:pPr>
      <w:r>
        <w:rPr>
          <w:rFonts w:ascii="Calibri" w:cs="Calibri" w:eastAsia="Calibri" w:hAnsi="Calibri"/>
        </w:rPr>
        <w:t xml:space="preserve">Department for Education (2026) Keeping children safe in education 2026, Part three — Safer recruitment, paragraphs 371 to 383 (Visitors; Volunteers; regulated activity) and Prevent duty / Channel sections.</w:t>
      </w:r>
    </w:p>
    <w:p>
      <w:pPr>
        <w:pStyle w:val="ListParagraph"/>
        <w:numPr>
          <w:ilvl w:val="0"/>
          <w:numId w:val="1"/>
        </w:numPr>
        <w:ind w:left="360"/>
      </w:pPr>
      <w:r>
        <w:rPr>
          <w:rFonts w:ascii="Calibri" w:cs="Calibri" w:eastAsia="Calibri" w:hAnsi="Calibri"/>
        </w:rPr>
        <w:t xml:space="preserve">Home Office, Prevent duty guidance: for England and Wales (revised), paragraphs 141 to 210 (education and childcare).</w:t>
      </w:r>
    </w:p>
    <w:p>
      <w:pPr>
        <w:pStyle w:val="ListParagraph"/>
        <w:numPr>
          <w:ilvl w:val="0"/>
          <w:numId w:val="1"/>
        </w:numPr>
        <w:ind w:left="360"/>
      </w:pPr>
      <w:r>
        <w:rPr>
          <w:rFonts w:ascii="Calibri" w:cs="Calibri" w:eastAsia="Calibri" w:hAnsi="Calibri"/>
        </w:rPr>
        <w:t xml:space="preserve">Counter-Terrorism and Security Act 2015, s.26 (Prevent duty) and s.29 (guidance).</w:t>
      </w:r>
    </w:p>
    <w:p>
      <w:pPr>
        <w:pStyle w:val="ListParagraph"/>
        <w:numPr>
          <w:ilvl w:val="0"/>
          <w:numId w:val="1"/>
        </w:numPr>
        <w:ind w:left="360"/>
      </w:pPr>
      <w:r>
        <w:rPr>
          <w:rFonts w:ascii="Calibri" w:cs="Calibri" w:eastAsia="Calibri" w:hAnsi="Calibri"/>
        </w:rPr>
        <w:t xml:space="preserve">Crime and Policing Act 2026 — amendments to regulated activity, removal of the supervision exemption, effective 1 September 2026.</w:t>
      </w:r>
    </w:p>
    <w:p>
      <w:pPr>
        <w:pStyle w:val="ListParagraph"/>
        <w:numPr>
          <w:ilvl w:val="0"/>
          <w:numId w:val="1"/>
        </w:numPr>
        <w:ind w:left="360"/>
      </w:pPr>
      <w:r>
        <w:rPr>
          <w:rFonts w:ascii="Calibri" w:cs="Calibri" w:eastAsia="Calibri" w:hAnsi="Calibri"/>
        </w:rPr>
        <w:t xml:space="preserve">HM Government (2026) Working together to safeguard children 2026: a guide to multi-agency working.</w:t>
      </w:r>
    </w:p>
    <w:p>
      <w:pPr>
        <w:pStyle w:val="ListParagraph"/>
        <w:numPr>
          <w:ilvl w:val="0"/>
          <w:numId w:val="1"/>
        </w:numPr>
        <w:ind w:left="360"/>
      </w:pPr>
      <w:r>
        <w:rPr>
          <w:rFonts w:ascii="Calibri" w:cs="Calibri" w:eastAsia="Calibri" w:hAnsi="Calibri"/>
        </w:rPr>
        <w:t xml:space="preserve">Safer Recruitment Guidance for Schools 2025 — agency, third-party staff and volunteer check requirements.</w:t>
      </w:r>
    </w:p>
    <w:p>
      <w:pPr>
        <w:pStyle w:val="ListParagraph"/>
        <w:numPr>
          <w:ilvl w:val="0"/>
          <w:numId w:val="1"/>
        </w:numPr>
        <w:ind w:left="360"/>
      </w:pPr>
      <w:r>
        <w:rPr>
          <w:rFonts w:ascii="Calibri" w:cs="Calibri" w:eastAsia="Calibri" w:hAnsi="Calibri"/>
        </w:rPr>
        <w:t xml:space="preserve">Education Act 1996, ss.406 to 407 — political indoctrination and balanced treatment of political issues.</w:t>
      </w:r>
    </w:p>
    <w:p>
      <w:pPr>
        <w:pStyle w:val="ListParagraph"/>
        <w:numPr>
          <w:ilvl w:val="0"/>
          <w:numId w:val="1"/>
        </w:numPr>
        <w:ind w:left="360"/>
      </w:pPr>
      <w:r>
        <w:rPr>
          <w:rFonts w:ascii="Calibri" w:cs="Calibri" w:eastAsia="Calibri" w:hAnsi="Calibri"/>
        </w:rPr>
        <w:t xml:space="preserve">Equality Act 2010, s.149 — Public Sector Equality Duty.</w:t>
      </w:r>
    </w:p>
    <w:p>
      <w:pPr>
        <w:pStyle w:val="ListParagraph"/>
        <w:numPr>
          <w:ilvl w:val="0"/>
          <w:numId w:val="1"/>
        </w:numPr>
        <w:ind w:left="360"/>
      </w:pPr>
      <w:r>
        <w:rPr>
          <w:rFonts w:ascii="Calibri" w:cs="Calibri" w:eastAsia="Calibri" w:hAnsi="Calibri"/>
        </w:rPr>
        <w:t xml:space="preserve">Care Act 2014 — adult safeguarding duties.</w:t>
      </w:r>
    </w:p>
    <w:p>
      <w:pPr>
        <w:pStyle w:val="ListParagraph"/>
        <w:numPr>
          <w:ilvl w:val="0"/>
          <w:numId w:val="1"/>
        </w:numPr>
        <w:ind w:left="360"/>
      </w:pPr>
      <w:r>
        <w:rPr>
          <w:rFonts w:ascii="Calibri" w:cs="Calibri" w:eastAsia="Calibri" w:hAnsi="Calibri"/>
        </w:rPr>
        <w:t xml:space="preserve">UK General Data Protection Regulation / Data Protection Act 2018.</w:t>
      </w:r>
    </w:p>
    <w:p>
      <w:pPr>
        <w:pStyle w:val="ListParagraph"/>
        <w:numPr>
          <w:ilvl w:val="0"/>
          <w:numId w:val="1"/>
        </w:numPr>
        <w:ind w:left="360"/>
      </w:pPr>
      <w:r>
        <w:rPr>
          <w:rFonts w:ascii="Calibri" w:cs="Calibri" w:eastAsia="Calibri" w:hAnsi="Calibri"/>
        </w:rPr>
        <w:t xml:space="preserve">Qualia Academy Safeguarding and Prevent Policy (V3:SPP2022) — guest speaker, third party and Single Central Record provisions.</w:t>
      </w:r>
    </w:p>
    <w:p>
      <w:pPr>
        <w:pStyle w:val="ListParagraph"/>
        <w:numPr>
          <w:ilvl w:val="0"/>
          <w:numId w:val="1"/>
        </w:numPr>
        <w:ind w:left="360"/>
      </w:pPr>
      <w:r>
        <w:rPr>
          <w:rFonts w:ascii="Calibri" w:cs="Calibri" w:eastAsia="Calibri" w:hAnsi="Calibri"/>
        </w:rPr>
        <w:t xml:space="preserve">Qualia Academy Guest Speakers Policy and Process (V1:LDP2024) — document under review, superseded by this policy.</w:t>
      </w:r>
    </w:p>
    <w:p/>
    <w:p>
      <w:pPr>
        <w:pStyle w:val="Heading2"/>
        <w:rPr>
          <w:rFonts w:ascii="Calibri" w:cs="Calibri" w:eastAsia="Calibri" w:hAnsi="Calibri"/>
        </w:rPr>
      </w:pPr>
      <w:r>
        <w:t xml:space="preserve">Document management and change history</w:t>
      </w:r>
    </w:p>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1F3864"/>
          </w:tcPr>
          <w:p>
            <w:r>
              <w:rPr>
                <w:rFonts w:ascii="Calibri" w:cs="Calibri" w:eastAsia="Calibri" w:hAnsi="Calibri"/>
                <w:b/>
                <w:bCs/>
                <w:color w:val="FFFFFF"/>
              </w:rPr>
              <w:t xml:space="preserve">Version</w:t>
            </w:r>
          </w:p>
        </w:tc>
        <w:tc>
          <w:tcPr>
            <w:tcW w:type="pct" w:w="25%"/>
            <w:shd w:fill="1F3864"/>
          </w:tcPr>
          <w:p>
            <w:r>
              <w:rPr>
                <w:rFonts w:ascii="Calibri" w:cs="Calibri" w:eastAsia="Calibri" w:hAnsi="Calibri"/>
                <w:b/>
                <w:bCs/>
                <w:color w:val="FFFFFF"/>
              </w:rPr>
              <w:t xml:space="preserve">Substantive change narrative</w:t>
            </w:r>
          </w:p>
        </w:tc>
        <w:tc>
          <w:tcPr>
            <w:tcW w:type="pct" w:w="25%"/>
            <w:shd w:fill="1F3864"/>
          </w:tcPr>
          <w:p>
            <w:r>
              <w:rPr>
                <w:rFonts w:ascii="Calibri" w:cs="Calibri" w:eastAsia="Calibri" w:hAnsi="Calibri"/>
                <w:b/>
                <w:bCs/>
                <w:color w:val="FFFFFF"/>
              </w:rPr>
              <w:t xml:space="preserve">Author</w:t>
            </w:r>
          </w:p>
        </w:tc>
        <w:tc>
          <w:tcPr>
            <w:tcW w:type="pct" w:w="25%"/>
            <w:shd w:fill="1F3864"/>
          </w:tcPr>
          <w:p>
            <w:r>
              <w:rPr>
                <w:rFonts w:ascii="Calibri" w:cs="Calibri" w:eastAsia="Calibri" w:hAnsi="Calibri"/>
                <w:b/>
                <w:bCs/>
                <w:color w:val="FFFFFF"/>
              </w:rPr>
              <w:t xml:space="preserve">Date</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V1:LDP2024</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First draft for consultation and approved.</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Kirsty Watson</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15/09/2024</w:t>
            </w:r>
          </w:p>
        </w:tc>
      </w:tr>
      <w:tr>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V2:LDP2026</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Full rewrite. Scope extended to online, streamed, pre-recorded, off-site, employer-based and one-to-one contributions, and to adults at risk. Risk-tiered vetting model introduced reflecting the removal of the supervision exemption by the Crime and Policing Act 2026 and Keeping children safe in education 2026 Part three, paragraphs 371 to 383. Associate pass unsupervised route withdrawn. Blanket risk assessment exemption withdrawn. Designated Safeguarding Lead sign-off made mandatory for every speaker. Notice period extended from 5 days to 15 working days. New sections added on content suitability, educational value and age appropriateness; political impartiality; adults at risk; online contributions; facilities hire and third-party organisers (previously missing); on-the-day arrangements; concerns, incidents and referrals; post-event review; records, Single Central Record and data protection; training and quality assurance; and governance reporting. Approval form expanded and three new appendices added. Terminology corrected to reflect an independent training provider rather than a college or university context.</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Designated Safeguarding Lead</w:t>
            </w:r>
          </w:p>
        </w:tc>
        <w:tc>
          <w:tcPr>
            <w:tcW w:type="pct" w:w="25%"/>
            <w:tcBorders>
              <w:top w:val="single" w:color="CCCCCC" w:sz="1"/>
              <w:left w:val="single" w:color="CCCCCC" w:sz="1"/>
              <w:bottom w:val="single" w:color="CCCCCC" w:sz="1"/>
              <w:right w:val="single" w:color="CCCCCC" w:sz="1"/>
            </w:tcBorders>
          </w:tcPr>
          <w:p>
            <w:r>
              <w:rPr>
                <w:rFonts w:ascii="Calibri" w:cs="Calibri" w:eastAsia="Calibri" w:hAnsi="Calibri"/>
              </w:rPr>
              <w:t xml:space="preserve">03/08/2026</w:t>
            </w:r>
          </w:p>
        </w:tc>
      </w:tr>
    </w:tbl>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Qualia Academy Guest Speakers Policy and Procedure V2 LDP2026</dc:title>
  <dc:subject>Full replacement policy and procedure for external and guest speakers, aligned to KCSIE 2026, the Ofsted further education and skills inspection toolkit, the Prevent duty and the Crime and Policing Act 2026</dc:subject>
  <dc:creator>Qualia Academy — Designated Safeguarding Lead</dc:creator>
  <dc:description>Generated by Launch Lemonade</dc:description>
  <cp:lastModifiedBy>Un-named</cp:lastModifiedBy>
  <cp:revision>1</cp:revision>
  <dcterms:created xsi:type="dcterms:W3CDTF">2026-08-03T14:09:04.725Z</dcterms:created>
  <dcterms:modified xsi:type="dcterms:W3CDTF">2026-08-03T14:09:04.725Z</dcterms:modified>
</cp:coreProperties>
</file>

<file path=docProps/custom.xml><?xml version="1.0" encoding="utf-8"?>
<Properties xmlns="http://schemas.openxmlformats.org/officeDocument/2006/custom-properties" xmlns:vt="http://schemas.openxmlformats.org/officeDocument/2006/docPropsVTypes"/>
</file>