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60"/>
        <w:jc w:val="center"/>
      </w:pPr>
      <w:r>
        <w:rPr>
          <w:rFonts w:ascii="Aptos" w:hAnsi="Aptos"/>
        </w:rPr>
        <w:drawing>
          <wp:inline xmlns:a="http://schemas.openxmlformats.org/drawingml/2006/main" xmlns:pic="http://schemas.openxmlformats.org/drawingml/2006/picture">
            <wp:extent cx="1872000" cy="832000"/>
            <wp:docPr id="1" name="Picture 1" descr="Qualia Academy logo" title="Qualia Academy logo"/>
            <wp:cNvGraphicFramePr>
              <a:graphicFrameLocks noChangeAspect="1"/>
            </wp:cNvGraphicFramePr>
            <a:graphic>
              <a:graphicData uri="http://schemas.openxmlformats.org/drawingml/2006/picture">
                <pic:pic>
                  <pic:nvPicPr>
                    <pic:cNvPr id="0" name="extract_p1_0.png"/>
                    <pic:cNvPicPr/>
                  </pic:nvPicPr>
                  <pic:blipFill>
                    <a:blip r:embed="rId11"/>
                    <a:stretch>
                      <a:fillRect/>
                    </a:stretch>
                  </pic:blipFill>
                  <pic:spPr>
                    <a:xfrm>
                      <a:off x="0" y="0"/>
                      <a:ext cx="1872000" cy="832000"/>
                    </a:xfrm>
                    <a:prstGeom prst="rect"/>
                  </pic:spPr>
                </pic:pic>
              </a:graphicData>
            </a:graphic>
          </wp:inline>
        </w:drawing>
      </w:r>
    </w:p>
    <w:p>
      <w:pPr>
        <w:spacing w:after="200"/>
        <w:jc w:val="center"/>
      </w:pPr>
      <w:r>
        <w:rPr>
          <w:rFonts w:ascii="Aptos" w:hAnsi="Aptos"/>
          <w:b/>
          <w:color w:val="764689"/>
          <w:sz w:val="26"/>
        </w:rPr>
        <w:t>QUALIA ACADEMY</w:t>
      </w:r>
    </w:p>
    <w:p>
      <w:pPr>
        <w:spacing w:after="480"/>
        <w:jc w:val="center"/>
      </w:pPr>
      <w:r>
        <w:rPr>
          <w:rFonts w:ascii="Aptos" w:hAnsi="Aptos"/>
          <w:b/>
          <w:color w:val="764689"/>
          <w:sz w:val="44"/>
        </w:rPr>
        <w:t>MALPRACTICE, MALADMINISTRATION,</w:t>
        <w:br/>
        <w:t>PLAGIARISM AND ARTIFICIAL INTELLIGENCE (AI)</w:t>
        <w:br/>
        <w:t>IN ASSESSMENT POLICY</w:t>
      </w:r>
    </w:p>
    <w:tbl>
      <w:tblPr>
        <w:tblW w:type="auto" w:w="0"/>
        <w:jc w:val="center"/>
        <w:tblLook w:firstColumn="1" w:firstRow="1" w:lastColumn="0" w:lastRow="0" w:noHBand="0" w:noVBand="1" w:val="04A0"/>
        <w:tblBorders>
          <w:top w:val="single" w:sz="6" w:space="0" w:color="C8B8D0"/>
          <w:left w:val="single" w:sz="6" w:space="0" w:color="C8B8D0"/>
          <w:bottom w:val="single" w:sz="6" w:space="0" w:color="C8B8D0"/>
          <w:right w:val="single" w:sz="6" w:space="0" w:color="C8B8D0"/>
          <w:insideH w:val="single" w:sz="6" w:space="0" w:color="C8B8D0"/>
          <w:insideV w:val="single" w:sz="6" w:space="0" w:color="C8B8D0"/>
        </w:tblBorders>
      </w:tblPr>
      <w:tblGrid>
        <w:gridCol w:w="10200"/>
      </w:tblGrid>
      <w:tr>
        <w:tc>
          <w:tcPr>
            <w:tcW w:type="dxa" w:w="10200"/>
            <w:shd w:fill="F7F2F9"/>
            <w:tcMar>
              <w:top w:w="130" w:type="dxa"/>
              <w:start w:w="150" w:type="dxa"/>
              <w:bottom w:w="130" w:type="dxa"/>
              <w:end w:w="150" w:type="dxa"/>
            </w:tcMar>
          </w:tcPr>
          <w:p>
            <w:r>
              <w:t>Purpose: To protect the integrity, validity, security and fairness of Qualia Academy assessment while setting clear expectations for learner and staff conduct, plagiarism, collusion, cheating, malpractice, maladministration and the safe, transparent and proportionate use of artificial intelligence.</w:t>
            </w:r>
          </w:p>
        </w:tc>
      </w:tr>
    </w:tbl>
    <w:p>
      <w:pPr>
        <w:spacing w:after="0"/>
      </w:pPr>
    </w:p>
    <w:p>
      <w:r>
        <w:rPr>
          <w:rFonts w:ascii="Aptos" w:hAnsi="Aptos"/>
        </w:rPr>
        <w:br w:type="page"/>
      </w:r>
    </w:p>
    <w:p>
      <w:pPr>
        <w:pStyle w:val="Heading1"/>
      </w:pPr>
      <w:r>
        <w:rPr>
          <w:rFonts w:ascii="Aptos" w:hAnsi="Aptos"/>
          <w:b/>
          <w:color w:val="764689"/>
        </w:rPr>
        <w:t>Contents</w:t>
      </w:r>
    </w:p>
    <w:p>
      <w:pPr>
        <w:pStyle w:val="ListBullet"/>
        <w:spacing w:after="50"/>
      </w:pPr>
      <w:r>
        <w:rPr>
          <w:rFonts w:ascii="Aptos" w:hAnsi="Aptos"/>
        </w:rPr>
        <w:t>1. Scope and Purpose</w:t>
      </w:r>
    </w:p>
    <w:p>
      <w:pPr>
        <w:pStyle w:val="ListBullet"/>
        <w:spacing w:after="50"/>
      </w:pPr>
      <w:r>
        <w:rPr>
          <w:rFonts w:ascii="Aptos" w:hAnsi="Aptos"/>
        </w:rPr>
        <w:t>2. Governance and Responsibilities</w:t>
      </w:r>
    </w:p>
    <w:p>
      <w:pPr>
        <w:pStyle w:val="ListBullet"/>
        <w:spacing w:after="50"/>
      </w:pPr>
      <w:r>
        <w:rPr>
          <w:rFonts w:ascii="Aptos" w:hAnsi="Aptos"/>
        </w:rPr>
        <w:t>3. Definitions</w:t>
      </w:r>
    </w:p>
    <w:p>
      <w:pPr>
        <w:pStyle w:val="ListBullet"/>
        <w:spacing w:after="50"/>
      </w:pPr>
      <w:r>
        <w:rPr>
          <w:rFonts w:ascii="Aptos" w:hAnsi="Aptos"/>
        </w:rPr>
        <w:t>4. Examples of Malpractice and Maladministration</w:t>
      </w:r>
    </w:p>
    <w:p>
      <w:pPr>
        <w:pStyle w:val="ListBullet"/>
        <w:spacing w:after="50"/>
      </w:pPr>
      <w:r>
        <w:rPr>
          <w:rFonts w:ascii="Aptos" w:hAnsi="Aptos"/>
        </w:rPr>
        <w:t>5. Artificial Intelligence (AI) in Learning and Assessment</w:t>
      </w:r>
    </w:p>
    <w:p>
      <w:pPr>
        <w:pStyle w:val="ListBullet"/>
        <w:spacing w:after="50"/>
      </w:pPr>
      <w:r>
        <w:rPr>
          <w:rFonts w:ascii="Aptos" w:hAnsi="Aptos"/>
        </w:rPr>
        <w:t>6. Digital Assessment Security and Controlled Conditions</w:t>
      </w:r>
    </w:p>
    <w:p>
      <w:pPr>
        <w:pStyle w:val="ListBullet"/>
        <w:spacing w:after="50"/>
      </w:pPr>
      <w:r>
        <w:rPr>
          <w:rFonts w:ascii="Aptos" w:hAnsi="Aptos"/>
        </w:rPr>
        <w:t>7. Identifying and Authenticating Malpractice/Maladministration</w:t>
      </w:r>
    </w:p>
    <w:p>
      <w:pPr>
        <w:pStyle w:val="ListBullet"/>
        <w:spacing w:after="50"/>
      </w:pPr>
      <w:r>
        <w:rPr>
          <w:rFonts w:ascii="Aptos" w:hAnsi="Aptos"/>
        </w:rPr>
        <w:t>8. Investigation Procedure</w:t>
      </w:r>
    </w:p>
    <w:p>
      <w:pPr>
        <w:pStyle w:val="ListBullet"/>
        <w:spacing w:after="50"/>
      </w:pPr>
      <w:r>
        <w:rPr>
          <w:rFonts w:ascii="Aptos" w:hAnsi="Aptos"/>
        </w:rPr>
        <w:t>9. Possible Actions, Penalties and Sanctions</w:t>
      </w:r>
    </w:p>
    <w:p>
      <w:pPr>
        <w:pStyle w:val="ListBullet"/>
        <w:spacing w:after="50"/>
      </w:pPr>
      <w:r>
        <w:rPr>
          <w:rFonts w:ascii="Aptos" w:hAnsi="Aptos"/>
        </w:rPr>
        <w:t>10. Reporting, Records, Adverse Effects and Whistleblowing</w:t>
      </w:r>
    </w:p>
    <w:p>
      <w:pPr>
        <w:pStyle w:val="ListBullet"/>
        <w:spacing w:after="50"/>
      </w:pPr>
      <w:r>
        <w:rPr>
          <w:rFonts w:ascii="Aptos" w:hAnsi="Aptos"/>
        </w:rPr>
        <w:t>11. Corrective and Preventative Action</w:t>
      </w:r>
    </w:p>
    <w:p>
      <w:pPr>
        <w:pStyle w:val="ListBullet"/>
        <w:spacing w:after="50"/>
      </w:pPr>
      <w:r>
        <w:rPr>
          <w:rFonts w:ascii="Aptos" w:hAnsi="Aptos"/>
        </w:rPr>
        <w:t>12. Monitoring, Review and Staff Competence</w:t>
      </w:r>
    </w:p>
    <w:p>
      <w:pPr>
        <w:pStyle w:val="ListBullet"/>
        <w:spacing w:after="50"/>
      </w:pPr>
      <w:r>
        <w:rPr>
          <w:rFonts w:ascii="Aptos" w:hAnsi="Aptos"/>
        </w:rPr>
        <w:t>13. Associated Documents and External Requirements</w:t>
      </w:r>
    </w:p>
    <w:p>
      <w:pPr>
        <w:pStyle w:val="ListBullet"/>
        <w:spacing w:after="50"/>
      </w:pPr>
      <w:r>
        <w:rPr>
          <w:rFonts w:ascii="Aptos" w:hAnsi="Aptos"/>
        </w:rPr>
        <w:t>14. Learner Acknowledgement</w:t>
      </w:r>
    </w:p>
    <w:p>
      <w:pPr>
        <w:pStyle w:val="ListBullet"/>
        <w:spacing w:after="50"/>
      </w:pPr>
      <w:r>
        <w:rPr>
          <w:rFonts w:ascii="Aptos" w:hAnsi="Aptos"/>
        </w:rPr>
        <w:t>Appendix 1 - Actions for Academic Theft / Plagiarism</w:t>
      </w:r>
    </w:p>
    <w:p>
      <w:pPr>
        <w:pStyle w:val="ListBullet"/>
        <w:spacing w:after="50"/>
      </w:pPr>
      <w:r>
        <w:rPr>
          <w:rFonts w:ascii="Aptos" w:hAnsi="Aptos"/>
        </w:rPr>
        <w:t>Appendix 2 - AI Use Declaration</w:t>
      </w:r>
    </w:p>
    <w:p>
      <w:pPr>
        <w:pStyle w:val="ListBullet"/>
        <w:spacing w:after="50"/>
      </w:pPr>
      <w:r>
        <w:rPr>
          <w:rFonts w:ascii="Aptos" w:hAnsi="Aptos"/>
        </w:rPr>
        <w:t>Appendix 3 - AI Assessment Status Labels</w:t>
      </w:r>
    </w:p>
    <w:p>
      <w:pPr>
        <w:pStyle w:val="ListBullet"/>
        <w:spacing w:after="50"/>
      </w:pPr>
      <w:r>
        <w:rPr>
          <w:rFonts w:ascii="Aptos" w:hAnsi="Aptos"/>
        </w:rPr>
        <w:t>Appendix 4 - Authenticity and Investigation Evidence Checklist</w:t>
      </w:r>
    </w:p>
    <w:p>
      <w:pPr>
        <w:pStyle w:val="ListBullet"/>
        <w:spacing w:after="50"/>
      </w:pPr>
      <w:r>
        <w:rPr>
          <w:rFonts w:ascii="Aptos" w:hAnsi="Aptos"/>
        </w:rPr>
        <w:t>Appendix 5 - AI Tool Approval and Safe-Use Checklist</w:t>
      </w:r>
    </w:p>
    <w:p>
      <w:pPr>
        <w:pStyle w:val="ListBullet"/>
      </w:pPr>
      <w:r>
        <w:rPr>
          <w:rFonts w:ascii="Aptos" w:hAnsi="Aptos"/>
        </w:rPr>
        <w:t>Document Control</w:t>
      </w:r>
    </w:p>
    <w:p>
      <w:pPr>
        <w:pStyle w:val="ListBullet"/>
      </w:pPr>
      <w:r>
        <w:rPr>
          <w:rFonts w:ascii="Aptos" w:hAnsi="Aptos"/>
        </w:rPr>
        <w:t>Version Control and Change History</w:t>
      </w:r>
    </w:p>
    <w:p>
      <w:pPr>
        <w:pStyle w:val="ListBullet"/>
      </w:pPr>
      <w:r>
        <w:rPr>
          <w:rFonts w:ascii="Aptos" w:hAnsi="Aptos"/>
        </w:rPr>
        <w:t>Rationale for V7.1 Interim Update</w:t>
      </w:r>
    </w:p>
    <w:p>
      <w:r>
        <w:rPr>
          <w:rFonts w:ascii="Aptos" w:hAnsi="Aptos"/>
        </w:rPr>
        <w:br w:type="page"/>
      </w:r>
    </w:p>
    <w:p>
      <w:pPr>
        <w:pStyle w:val="Heading1"/>
      </w:pPr>
      <w:r>
        <w:rPr>
          <w:rFonts w:ascii="Aptos" w:hAnsi="Aptos"/>
          <w:b/>
          <w:color w:val="764689"/>
        </w:rPr>
        <w:t>1. Scope and Purpose</w:t>
      </w:r>
    </w:p>
    <w:p>
      <w:pPr>
        <w:spacing w:after="100" w:line="259" w:lineRule="auto"/>
      </w:pPr>
      <w:r>
        <w:rPr>
          <w:rFonts w:ascii="Aptos" w:hAnsi="Aptos"/>
          <w:i w:val="0"/>
        </w:rPr>
        <w:t>Qualia Academy considers plagiarism and all other forms of assessment malpractice and maladministration to be serious matters. This policy defines malpractice and maladministration from learner, staff and centre perspectives, explains how concerns will be prevented, identified, authenticated and investigated, and sets out the actions that may follow. It should be read in conjunction with the relevant Staff and Learner Disciplinary Policies and Procedures.</w:t>
      </w:r>
    </w:p>
    <w:p>
      <w:pPr>
        <w:spacing w:after="100" w:line="259" w:lineRule="auto"/>
      </w:pPr>
      <w:r>
        <w:rPr>
          <w:rFonts w:ascii="Aptos" w:hAnsi="Aptos"/>
          <w:i w:val="0"/>
        </w:rPr>
        <w:t>This policy applies to all learners and staff at all Qualia Academy centres and delivery locations, including employees, agency workers, contractors, sole traders, tutors, assessors, mentors, internal quality assurers, invigilators and relevant stakeholders where applicable. It applies to internal assessments, internal and external examinations, portfolio evidence, coursework, practical assessment, live observation, professional discussion preparation, recognition of prior learning (RPL), work-based evidence, remote/digital assessment and any other evidence used to support achievement, progression or certification.</w:t>
      </w:r>
    </w:p>
    <w:p>
      <w:pPr>
        <w:spacing w:after="100" w:line="259" w:lineRule="auto"/>
      </w:pPr>
      <w:r>
        <w:rPr>
          <w:rFonts w:ascii="Aptos" w:hAnsi="Aptos"/>
        </w:rPr>
        <w:t>Where an Awarding Organisation (AO), Awarding Body, apprenticeship Assessment Organisation, legacy End Point Assessment Organisation (EPAO), regulator, funding body, validating organisation or industry-specific provider has its own published rules, assessment instructions or investigation procedures, those requirements take precedence where they impose additional or different controls. Qualia Academy will use the most current applicable external requirements when acting on a live case.</w:t>
      </w:r>
    </w:p>
    <w:p>
      <w:pPr>
        <w:spacing w:after="100" w:line="259" w:lineRule="auto"/>
      </w:pPr>
      <w:r>
        <w:rPr>
          <w:rFonts w:ascii="Aptos" w:hAnsi="Aptos"/>
          <w:i w:val="0"/>
        </w:rPr>
        <w:t>The main objectives of this policy are to:</w:t>
      </w:r>
    </w:p>
    <w:p>
      <w:pPr>
        <w:pStyle w:val="ListBullet"/>
        <w:spacing w:after="50"/>
      </w:pPr>
      <w:r>
        <w:rPr>
          <w:rFonts w:ascii="Aptos" w:hAnsi="Aptos"/>
        </w:rPr>
        <w:t>Identify and minimise the risk of malpractice and/or maladministration by staff, learners, stakeholders or other parties.</w:t>
      </w:r>
    </w:p>
    <w:p>
      <w:pPr>
        <w:pStyle w:val="ListBullet"/>
        <w:spacing w:after="50"/>
      </w:pPr>
      <w:r>
        <w:rPr>
          <w:rFonts w:ascii="Aptos" w:hAnsi="Aptos"/>
        </w:rPr>
        <w:t>Respond effectively to actual or alleged malpractice/maladministration promptly, objectively, consistently and fairly.</w:t>
      </w:r>
    </w:p>
    <w:p>
      <w:pPr>
        <w:pStyle w:val="ListBullet"/>
        <w:spacing w:after="50"/>
      </w:pPr>
      <w:r>
        <w:rPr>
          <w:rFonts w:ascii="Aptos" w:hAnsi="Aptos"/>
        </w:rPr>
        <w:t>Standardise the recording, investigation and reporting of malpractice/maladministration, including notification to relevant AOs, apprenticeship Assessment Organisations and legacy EPAOs, regulators or funders where required.</w:t>
      </w:r>
    </w:p>
    <w:p>
      <w:pPr>
        <w:pStyle w:val="ListBullet"/>
        <w:spacing w:after="50"/>
      </w:pPr>
      <w:r>
        <w:rPr>
          <w:rFonts w:ascii="Aptos" w:hAnsi="Aptos"/>
        </w:rPr>
        <w:t>Impose appropriate and proportionate penalties or sanctions where incidents, or attempted incidents, are proven.</w:t>
      </w:r>
    </w:p>
    <w:p>
      <w:pPr>
        <w:pStyle w:val="ListBullet"/>
        <w:spacing w:after="50"/>
      </w:pPr>
      <w:r>
        <w:rPr>
          <w:rFonts w:ascii="Aptos" w:hAnsi="Aptos"/>
        </w:rPr>
        <w:t>Protect the integrity of Qualia Academy, its apprenticeships, courses, assessment decisions, qualifications and public confidence in the validity of achievement.</w:t>
      </w:r>
    </w:p>
    <w:p>
      <w:pPr>
        <w:pStyle w:val="ListBullet"/>
        <w:spacing w:after="50"/>
      </w:pPr>
      <w:r>
        <w:rPr>
          <w:rFonts w:ascii="Aptos" w:hAnsi="Aptos"/>
        </w:rPr>
        <w:t>Protect learners and staff by setting clear rules for the safe, ethical, transparent and proportionate use of artificial intelligence in learning, assessment, feedback and quality assurance.</w:t>
      </w:r>
    </w:p>
    <w:p>
      <w:pPr>
        <w:pStyle w:val="ListBullet"/>
        <w:spacing w:after="50"/>
      </w:pPr>
      <w:r>
        <w:rPr>
          <w:rFonts w:ascii="Aptos" w:hAnsi="Aptos"/>
        </w:rPr>
        <w:t>Ensure that preventative and corrective action is taken where weaknesses in systems, assessment design, guidance, training or controls are identified.</w:t>
      </w:r>
    </w:p>
    <w:p>
      <w:pPr>
        <w:pStyle w:val="Heading1"/>
      </w:pPr>
      <w:r>
        <w:rPr>
          <w:rFonts w:ascii="Aptos" w:hAnsi="Aptos"/>
          <w:b/>
          <w:color w:val="764689"/>
        </w:rPr>
        <w:t>2. Governance and Responsibilities</w:t>
      </w:r>
    </w:p>
    <w:p>
      <w:pPr>
        <w:spacing w:after="100" w:line="259" w:lineRule="auto"/>
      </w:pPr>
      <w:r>
        <w:rPr>
          <w:rFonts w:ascii="Aptos" w:hAnsi="Aptos"/>
          <w:i w:val="0"/>
        </w:rPr>
        <w:t>All staff are responsible for giving full and active support to this policy by ensuring it is known, understood and implemented. Responsibility for assessment integrity cannot be delegated to an automated system or AI tool.</w:t>
      </w:r>
    </w:p>
    <w:p>
      <w:pPr>
        <w:pStyle w:val="Heading2"/>
      </w:pPr>
      <w:r>
        <w:rPr>
          <w:rFonts w:ascii="Aptos" w:hAnsi="Aptos"/>
          <w:b/>
          <w:color w:val="2D3F98"/>
        </w:rPr>
        <w:t>2.1 Learners / Students / Candidates</w:t>
      </w:r>
    </w:p>
    <w:p>
      <w:pPr>
        <w:pStyle w:val="ListBullet"/>
        <w:spacing w:after="50"/>
      </w:pPr>
      <w:r>
        <w:rPr>
          <w:rFonts w:ascii="Aptos" w:hAnsi="Aptos"/>
        </w:rPr>
        <w:t>Ensure all assessed work presented is their own, except where collaboration, assistive technology or another form of support is explicitly authorised.</w:t>
      </w:r>
    </w:p>
    <w:p>
      <w:pPr>
        <w:pStyle w:val="ListBullet"/>
        <w:spacing w:after="50"/>
      </w:pPr>
      <w:r>
        <w:rPr>
          <w:rFonts w:ascii="Aptos" w:hAnsi="Aptos"/>
        </w:rPr>
        <w:t>Fully acknowledge the work, ideas, opinions, data, images, audio, video, code and other materials created by others.</w:t>
      </w:r>
    </w:p>
    <w:p>
      <w:pPr>
        <w:pStyle w:val="ListBullet"/>
        <w:spacing w:after="50"/>
      </w:pPr>
      <w:r>
        <w:rPr>
          <w:rFonts w:ascii="Aptos" w:hAnsi="Aptos"/>
        </w:rPr>
        <w:t>Declare that submitted work is their own and that permitted sources of support, including AI tools, have been appropriately acknowledged.</w:t>
      </w:r>
    </w:p>
    <w:p>
      <w:pPr>
        <w:pStyle w:val="ListBullet"/>
        <w:spacing w:after="50"/>
      </w:pPr>
      <w:r>
        <w:rPr>
          <w:rFonts w:ascii="Aptos" w:hAnsi="Aptos"/>
        </w:rPr>
        <w:t>Not undertake cheating, impersonation, collusion, fabrication, falsification, unauthorised assistance, contract cheating or any other activity that creates an unfair advantage.</w:t>
      </w:r>
    </w:p>
    <w:p>
      <w:pPr>
        <w:pStyle w:val="ListBullet"/>
        <w:spacing w:after="50"/>
      </w:pPr>
      <w:r>
        <w:rPr>
          <w:rFonts w:ascii="Aptos" w:hAnsi="Aptos"/>
        </w:rPr>
        <w:t>Follow the AI status and instructions stated in the assessment brief and any applicable AO / apprenticeship Assessment Organisation / legacy EPAO rules.</w:t>
      </w:r>
    </w:p>
    <w:p>
      <w:pPr>
        <w:pStyle w:val="ListBullet"/>
        <w:spacing w:after="50"/>
      </w:pPr>
      <w:r>
        <w:rPr>
          <w:rFonts w:ascii="Aptos" w:hAnsi="Aptos"/>
        </w:rPr>
        <w:t>Retain drafts, notes, source records, working files and, where AI has been used, sufficient records of that use when required for authentication.</w:t>
      </w:r>
    </w:p>
    <w:p>
      <w:pPr>
        <w:pStyle w:val="ListBullet"/>
        <w:spacing w:after="50"/>
      </w:pPr>
      <w:r>
        <w:rPr>
          <w:rFonts w:ascii="Aptos" w:hAnsi="Aptos"/>
        </w:rPr>
        <w:t>Ask for clarification before using an AI tool where the assessment instructions are unclear rather than assuming that AI use is permitted.</w:t>
      </w:r>
    </w:p>
    <w:p>
      <w:pPr>
        <w:pStyle w:val="Heading2"/>
      </w:pPr>
      <w:r>
        <w:rPr>
          <w:rFonts w:ascii="Aptos" w:hAnsi="Aptos"/>
          <w:b/>
          <w:color w:val="2D3F98"/>
        </w:rPr>
        <w:t>2.2 Qualia Academy (Centre)</w:t>
      </w:r>
    </w:p>
    <w:p>
      <w:pPr>
        <w:pStyle w:val="ListBullet"/>
        <w:spacing w:after="50"/>
      </w:pPr>
      <w:r>
        <w:rPr>
          <w:rFonts w:ascii="Aptos" w:hAnsi="Aptos"/>
        </w:rPr>
        <w:t>Promote a positive academic-integrity culture that encourages learners to take individual responsibility for learning and respect the work of others.</w:t>
      </w:r>
    </w:p>
    <w:p>
      <w:pPr>
        <w:pStyle w:val="ListBullet"/>
        <w:spacing w:after="50"/>
      </w:pPr>
      <w:r>
        <w:rPr>
          <w:rFonts w:ascii="Aptos" w:hAnsi="Aptos"/>
        </w:rPr>
        <w:t>Provide induction and ongoing guidance on malpractice, maladministration, plagiarism, AI use, likely consequences and routes for reporting concerns.</w:t>
      </w:r>
    </w:p>
    <w:p>
      <w:pPr>
        <w:pStyle w:val="ListBullet"/>
        <w:spacing w:after="50"/>
      </w:pPr>
      <w:r>
        <w:rPr>
          <w:rFonts w:ascii="Aptos" w:hAnsi="Aptos"/>
        </w:rPr>
        <w:t>Ensure assessment briefs and learner guidance clearly explain whether and how AI may be used and how any use must be declared or referenced.</w:t>
      </w:r>
    </w:p>
    <w:p>
      <w:pPr>
        <w:pStyle w:val="ListBullet"/>
      </w:pPr>
      <w:r>
        <w:rPr>
          <w:rFonts w:ascii="Aptos" w:hAnsi="Aptos"/>
        </w:rPr>
        <w:t>Where collaborative learning, peer activity or group work is used, assessment briefs must clearly distinguish what may be completed collaboratively from the evidence, reflection, analysis, decision-making or output that must be produced independently by each learner.</w:t>
      </w:r>
    </w:p>
    <w:p>
      <w:pPr>
        <w:pStyle w:val="ListBullet"/>
        <w:spacing w:after="50"/>
      </w:pPr>
      <w:r>
        <w:rPr>
          <w:rFonts w:ascii="Aptos" w:hAnsi="Aptos"/>
        </w:rPr>
        <w:t>Maintain systems and records that support secure, valid and auditable assessment and quality assurance, including secure electronic evidence where used.</w:t>
      </w:r>
    </w:p>
    <w:p>
      <w:pPr>
        <w:pStyle w:val="ListBullet"/>
        <w:spacing w:after="50"/>
      </w:pPr>
      <w:r>
        <w:rPr>
          <w:rFonts w:ascii="Aptos" w:hAnsi="Aptos"/>
        </w:rPr>
        <w:t>Take all reasonable and proportionate steps to prevent malpractice, including reviewing assessment vulnerability to AI-related misuse and strengthening supervision, task design, authentication or technical controls where appropriate.</w:t>
      </w:r>
    </w:p>
    <w:p>
      <w:pPr>
        <w:pStyle w:val="ListBullet"/>
        <w:spacing w:after="50"/>
      </w:pPr>
      <w:r>
        <w:rPr>
          <w:rFonts w:ascii="Aptos" w:hAnsi="Aptos"/>
        </w:rPr>
        <w:t>Ensure adopted AI tools are subject to proportionate approval, data protection, cyber-security, intellectual-property and learner-safety checks before institutional use.</w:t>
      </w:r>
    </w:p>
    <w:p>
      <w:pPr>
        <w:pStyle w:val="ListBullet"/>
        <w:spacing w:after="50"/>
      </w:pPr>
      <w:r>
        <w:rPr>
          <w:rFonts w:ascii="Aptos" w:hAnsi="Aptos"/>
        </w:rPr>
        <w:t>Ensure third-party delivery arrangements remain subject to Qualia Academy oversight and applicable AO / apprenticeship Assessment Organisation / legacy EPAO requirements.</w:t>
      </w:r>
    </w:p>
    <w:p>
      <w:pPr>
        <w:pStyle w:val="Heading2"/>
      </w:pPr>
      <w:r>
        <w:rPr>
          <w:rFonts w:ascii="Aptos" w:hAnsi="Aptos"/>
          <w:b/>
          <w:color w:val="2D3F98"/>
        </w:rPr>
        <w:t>2.3 Head of Academy (Principal) / Head of Centre</w:t>
      </w:r>
    </w:p>
    <w:p>
      <w:pPr>
        <w:pStyle w:val="ListBullet"/>
        <w:spacing w:after="50"/>
      </w:pPr>
      <w:r>
        <w:rPr>
          <w:rFonts w:ascii="Aptos" w:hAnsi="Aptos"/>
        </w:rPr>
        <w:t>Hold overall responsibility for assessment integrity, centre compliance and implementation of this policy.</w:t>
      </w:r>
    </w:p>
    <w:p>
      <w:pPr>
        <w:pStyle w:val="ListBullet"/>
        <w:spacing w:after="50"/>
      </w:pPr>
      <w:r>
        <w:rPr>
          <w:rFonts w:ascii="Aptos" w:hAnsi="Aptos"/>
        </w:rPr>
        <w:t>Ensure the centre maintains an up-to-date malpractice policy which addresses AI use, AI misuse, acknowledgement, risks, authentication and investigation.</w:t>
      </w:r>
    </w:p>
    <w:p>
      <w:pPr>
        <w:pStyle w:val="ListBullet"/>
        <w:spacing w:after="50"/>
      </w:pPr>
      <w:r>
        <w:rPr>
          <w:rFonts w:ascii="Aptos" w:hAnsi="Aptos"/>
        </w:rPr>
        <w:t>Ensure appropriate staff competence, training and resourcing for malpractice prevention, digital assessment security and AI-related assessment risks.</w:t>
      </w:r>
    </w:p>
    <w:p>
      <w:pPr>
        <w:pStyle w:val="ListBullet"/>
        <w:spacing w:after="50"/>
      </w:pPr>
      <w:r>
        <w:rPr>
          <w:rFonts w:ascii="Aptos" w:hAnsi="Aptos"/>
        </w:rPr>
        <w:t>Ensure, where computers or word processors are used in controlled assessments and AI/internet access is prohibited, relevant staff know how to disable or otherwise prevent improper access.</w:t>
      </w:r>
    </w:p>
    <w:p>
      <w:pPr>
        <w:pStyle w:val="ListBullet"/>
        <w:spacing w:after="50"/>
      </w:pPr>
      <w:r>
        <w:rPr>
          <w:rFonts w:ascii="Aptos" w:hAnsi="Aptos"/>
        </w:rPr>
        <w:t>Appoint an independent Investigation Officer where a full investigation is required and ensure conflicts of interest are managed.</w:t>
      </w:r>
    </w:p>
    <w:p>
      <w:pPr>
        <w:pStyle w:val="ListBullet"/>
        <w:spacing w:after="50"/>
      </w:pPr>
      <w:r>
        <w:rPr>
          <w:rFonts w:ascii="Aptos" w:hAnsi="Aptos"/>
        </w:rPr>
        <w:t>Ensure material adverse effects are escalated promptly and external reporting obligations are met.</w:t>
      </w:r>
    </w:p>
    <w:p>
      <w:pPr>
        <w:pStyle w:val="ListBullet"/>
        <w:spacing w:after="50"/>
      </w:pPr>
      <w:r>
        <w:rPr>
          <w:rFonts w:ascii="Aptos" w:hAnsi="Aptos"/>
        </w:rPr>
        <w:t>Ensure corrective and preventative actions arising from investigations, audit or external quality assurance are implemented and monitored to completion.</w:t>
      </w:r>
    </w:p>
    <w:p>
      <w:pPr>
        <w:pStyle w:val="Heading2"/>
      </w:pPr>
      <w:r>
        <w:rPr>
          <w:rFonts w:ascii="Aptos" w:hAnsi="Aptos"/>
          <w:b/>
          <w:color w:val="2D3F98"/>
        </w:rPr>
        <w:t>2.4 Tutor / Assessor</w:t>
      </w:r>
    </w:p>
    <w:p>
      <w:pPr>
        <w:pStyle w:val="ListBullet"/>
        <w:spacing w:after="50"/>
      </w:pPr>
      <w:r>
        <w:rPr>
          <w:rFonts w:ascii="Aptos" w:hAnsi="Aptos"/>
        </w:rPr>
        <w:t>Design and deliver assessment opportunities that reduce avoidable opportunities for malpractice while remaining fair, accessible and valid.</w:t>
      </w:r>
    </w:p>
    <w:p>
      <w:pPr>
        <w:pStyle w:val="ListBullet"/>
        <w:spacing w:after="50"/>
      </w:pPr>
      <w:r>
        <w:rPr>
          <w:rFonts w:ascii="Aptos" w:hAnsi="Aptos"/>
        </w:rPr>
        <w:t>Check the validity and authenticity of learner work and make assessment decisions against the required assessment criteria.</w:t>
      </w:r>
    </w:p>
    <w:p>
      <w:pPr>
        <w:pStyle w:val="ListBullet"/>
        <w:spacing w:after="50"/>
      </w:pPr>
      <w:r>
        <w:rPr>
          <w:rFonts w:ascii="Aptos" w:hAnsi="Aptos"/>
        </w:rPr>
        <w:t>Explain malpractice/maladministration, plagiarism, collusion, cheating, contract cheating, AI use and possible outcomes through induction, assessment briefings and learner guidance.</w:t>
      </w:r>
    </w:p>
    <w:p>
      <w:pPr>
        <w:pStyle w:val="ListBullet"/>
      </w:pPr>
      <w:r>
        <w:rPr>
          <w:rFonts w:ascii="Aptos" w:hAnsi="Aptos"/>
        </w:rPr>
        <w:t>Explain the boundary between legitimate collaboration and collusion, particularly for group projects, peer review, shared research activities, workplace evidence and online learning.</w:t>
      </w:r>
    </w:p>
    <w:p>
      <w:pPr>
        <w:pStyle w:val="ListBullet"/>
        <w:spacing w:after="50"/>
      </w:pPr>
      <w:r>
        <w:rPr>
          <w:rFonts w:ascii="Aptos" w:hAnsi="Aptos"/>
        </w:rPr>
        <w:t>Clearly identify the AI status of each assessment and explain any permitted, limited or prohibited use.</w:t>
      </w:r>
    </w:p>
    <w:p>
      <w:pPr>
        <w:pStyle w:val="ListBullet"/>
        <w:spacing w:after="50"/>
      </w:pPr>
      <w:r>
        <w:rPr>
          <w:rFonts w:ascii="Aptos" w:hAnsi="Aptos"/>
        </w:rPr>
        <w:t>Not provide, prompt or generate answers in a way that compromises the independence of the learner’s assessed evidence.</w:t>
      </w:r>
    </w:p>
    <w:p>
      <w:pPr>
        <w:pStyle w:val="ListBullet"/>
        <w:spacing w:after="50"/>
      </w:pPr>
      <w:r>
        <w:rPr>
          <w:rFonts w:ascii="Aptos" w:hAnsi="Aptos"/>
        </w:rPr>
        <w:t>Where authenticity is in doubt, use proportionate checks such as discussion with the learner, review of drafts/version history, source checking, process evidence and comparison with known work.</w:t>
      </w:r>
    </w:p>
    <w:p>
      <w:pPr>
        <w:pStyle w:val="ListBullet"/>
        <w:spacing w:after="50"/>
      </w:pPr>
      <w:r>
        <w:rPr>
          <w:rFonts w:ascii="Aptos" w:hAnsi="Aptos"/>
        </w:rPr>
        <w:t>Keep clear records where acknowledged AI use affects what evidence can be credited or how the assessment decision is reached.</w:t>
      </w:r>
    </w:p>
    <w:p>
      <w:pPr>
        <w:pStyle w:val="Heading2"/>
      </w:pPr>
      <w:r>
        <w:rPr>
          <w:rFonts w:ascii="Aptos" w:hAnsi="Aptos"/>
          <w:b/>
          <w:color w:val="2D3F98"/>
        </w:rPr>
        <w:t>2.5 Internal Verifier / Internal Quality Assurer (IV/IQA)</w:t>
      </w:r>
    </w:p>
    <w:p>
      <w:pPr>
        <w:pStyle w:val="ListBullet"/>
        <w:spacing w:after="50"/>
      </w:pPr>
      <w:r>
        <w:rPr>
          <w:rFonts w:ascii="Aptos" w:hAnsi="Aptos"/>
        </w:rPr>
        <w:t>Carry out malpractice and authenticity checks when internally verifying or quality assuring assessment activity.</w:t>
      </w:r>
    </w:p>
    <w:p>
      <w:pPr>
        <w:pStyle w:val="ListBullet"/>
        <w:spacing w:after="50"/>
      </w:pPr>
      <w:r>
        <w:rPr>
          <w:rFonts w:ascii="Aptos" w:hAnsi="Aptos"/>
        </w:rPr>
        <w:t>Check that assessment decisions remain valid where AI or assistive technologies have been used.</w:t>
      </w:r>
    </w:p>
    <w:p>
      <w:pPr>
        <w:pStyle w:val="ListBullet"/>
        <w:spacing w:after="50"/>
      </w:pPr>
      <w:r>
        <w:rPr>
          <w:rFonts w:ascii="Aptos" w:hAnsi="Aptos"/>
        </w:rPr>
        <w:t>Confirm that staff use of AI has not displaced human professional judgement or compromised confidentiality, fairness or assessment criteria.</w:t>
      </w:r>
    </w:p>
    <w:p>
      <w:pPr>
        <w:pStyle w:val="ListBullet"/>
        <w:spacing w:after="50"/>
      </w:pPr>
      <w:r>
        <w:rPr>
          <w:rFonts w:ascii="Aptos" w:hAnsi="Aptos"/>
        </w:rPr>
        <w:t>Escalate concerns where learner evidence, assessor decisions, records or digital audit trails may have been improperly influenced, generated or altered.</w:t>
      </w:r>
    </w:p>
    <w:p>
      <w:pPr>
        <w:pStyle w:val="Heading2"/>
      </w:pPr>
      <w:r>
        <w:rPr>
          <w:rFonts w:ascii="Aptos" w:hAnsi="Aptos"/>
          <w:b/>
          <w:color w:val="2D3F98"/>
        </w:rPr>
        <w:t>2.6 Quality Manager / Designated Responsible Person</w:t>
      </w:r>
    </w:p>
    <w:p>
      <w:pPr>
        <w:pStyle w:val="ListBullet"/>
        <w:spacing w:after="50"/>
      </w:pPr>
      <w:r>
        <w:rPr>
          <w:rFonts w:ascii="Aptos" w:hAnsi="Aptos"/>
        </w:rPr>
        <w:t>Coordinate centre-level malpractice/maladministration processes and ensure investigations are documented and proportionate.</w:t>
      </w:r>
    </w:p>
    <w:p>
      <w:pPr>
        <w:pStyle w:val="ListBullet"/>
        <w:spacing w:after="50"/>
      </w:pPr>
      <w:r>
        <w:rPr>
          <w:rFonts w:ascii="Aptos" w:hAnsi="Aptos"/>
        </w:rPr>
        <w:t>Inform relevant AOs, apprenticeship Assessment Organisations and legacy EPAOs, regulators, funding bodies or other organisations where notification is required.</w:t>
      </w:r>
    </w:p>
    <w:p>
      <w:pPr>
        <w:pStyle w:val="ListBullet"/>
        <w:spacing w:after="50"/>
      </w:pPr>
      <w:r>
        <w:rPr>
          <w:rFonts w:ascii="Aptos" w:hAnsi="Aptos"/>
        </w:rPr>
        <w:t>Ensure outcomes, sanctions, conflicts of interest, appeals, adverse-effect decisions and improvement actions are recorded and retained.</w:t>
      </w:r>
    </w:p>
    <w:p>
      <w:pPr>
        <w:pStyle w:val="ListBullet"/>
        <w:spacing w:after="50"/>
      </w:pPr>
      <w:r>
        <w:rPr>
          <w:rFonts w:ascii="Aptos" w:hAnsi="Aptos"/>
        </w:rPr>
        <w:t>Monitor themes and patterns, including emerging AI-related risks, and report significant issues through governance/quality processes.</w:t>
      </w:r>
    </w:p>
    <w:p>
      <w:pPr>
        <w:pStyle w:val="ListBullet"/>
        <w:spacing w:after="50"/>
      </w:pPr>
      <w:r>
        <w:rPr>
          <w:rFonts w:ascii="Aptos" w:hAnsi="Aptos"/>
        </w:rPr>
        <w:t>Maintain oversight of policy review and ensure associated procedures, templates and training remain aligned.</w:t>
      </w:r>
    </w:p>
    <w:p>
      <w:pPr>
        <w:pStyle w:val="Heading2"/>
      </w:pPr>
      <w:r>
        <w:rPr>
          <w:rFonts w:ascii="Aptos" w:hAnsi="Aptos"/>
          <w:b/>
          <w:color w:val="2D3F98"/>
        </w:rPr>
        <w:t>2.7 Staff Competence and Training</w:t>
      </w:r>
    </w:p>
    <w:p>
      <w:pPr>
        <w:spacing w:after="100" w:line="259" w:lineRule="auto"/>
      </w:pPr>
      <w:r>
        <w:rPr>
          <w:rFonts w:ascii="Aptos" w:hAnsi="Aptos"/>
          <w:i w:val="0"/>
        </w:rPr>
        <w:t>Relevant staff must remain sufficiently competent to apply this policy. Training will be proportionate to role and risk and may include:</w:t>
      </w:r>
    </w:p>
    <w:p>
      <w:pPr>
        <w:pStyle w:val="ListBullet"/>
        <w:spacing w:after="50"/>
      </w:pPr>
      <w:r>
        <w:rPr>
          <w:rFonts w:ascii="Aptos" w:hAnsi="Aptos"/>
        </w:rPr>
        <w:t>Academic integrity, plagiarism, collusion, cheating, contract cheating, impersonation, fabrication and other forms of malpractice.</w:t>
      </w:r>
    </w:p>
    <w:p>
      <w:pPr>
        <w:pStyle w:val="ListBullet"/>
        <w:spacing w:after="50"/>
      </w:pPr>
      <w:r>
        <w:rPr>
          <w:rFonts w:ascii="Aptos" w:hAnsi="Aptos"/>
        </w:rPr>
        <w:t>Current AO / apprenticeship Assessment Organisation / legacy EPAO assessment and authentication requirements.</w:t>
      </w:r>
    </w:p>
    <w:p>
      <w:pPr>
        <w:pStyle w:val="ListBullet"/>
        <w:spacing w:after="50"/>
      </w:pPr>
      <w:r>
        <w:rPr>
          <w:rFonts w:ascii="Aptos" w:hAnsi="Aptos"/>
        </w:rPr>
        <w:t>Capabilities and limitations of commonly used generative and multimodal AI tools.</w:t>
      </w:r>
    </w:p>
    <w:p>
      <w:pPr>
        <w:pStyle w:val="ListBullet"/>
        <w:spacing w:after="50"/>
      </w:pPr>
      <w:r>
        <w:rPr>
          <w:rFonts w:ascii="Aptos" w:hAnsi="Aptos"/>
        </w:rPr>
        <w:t>AI hallucination, bias, fabricated references, deepfakes and synthetic media risks.</w:t>
      </w:r>
    </w:p>
    <w:p>
      <w:pPr>
        <w:pStyle w:val="ListBullet"/>
        <w:spacing w:after="50"/>
      </w:pPr>
      <w:r>
        <w:rPr>
          <w:rFonts w:ascii="Aptos" w:hAnsi="Aptos"/>
        </w:rPr>
        <w:t>Appropriate use and limitations of similarity checking and AI-detection indicators, including false positives and false negatives.</w:t>
      </w:r>
    </w:p>
    <w:p>
      <w:pPr>
        <w:pStyle w:val="ListBullet"/>
        <w:spacing w:after="50"/>
      </w:pPr>
      <w:r>
        <w:rPr>
          <w:rFonts w:ascii="Aptos" w:hAnsi="Aptos"/>
        </w:rPr>
        <w:t>Digital assessment security, controlled assessment access restrictions and secure evidence handling.</w:t>
      </w:r>
    </w:p>
    <w:p>
      <w:pPr>
        <w:pStyle w:val="ListBullet"/>
        <w:spacing w:after="50"/>
      </w:pPr>
      <w:r>
        <w:rPr>
          <w:rFonts w:ascii="Aptos" w:hAnsi="Aptos"/>
        </w:rPr>
        <w:t>Data protection, confidentiality, special-category data, intellectual property and cyber-security when using AI systems.</w:t>
      </w:r>
    </w:p>
    <w:p>
      <w:pPr>
        <w:pStyle w:val="ListBullet"/>
        <w:spacing w:after="50"/>
      </w:pPr>
      <w:r>
        <w:rPr>
          <w:rFonts w:ascii="Aptos" w:hAnsi="Aptos"/>
        </w:rPr>
        <w:t>Fair investigation, reasonable adjustments, accessibility and avoidance of discriminatory assumptions when authenticity is questioned.</w:t>
      </w:r>
    </w:p>
    <w:p>
      <w:pPr>
        <w:pStyle w:val="Heading1"/>
      </w:pPr>
      <w:r>
        <w:rPr>
          <w:rFonts w:ascii="Aptos" w:hAnsi="Aptos"/>
          <w:b/>
          <w:color w:val="764689"/>
        </w:rPr>
        <w:t>3. Definitions</w:t>
      </w:r>
    </w:p>
    <w:p>
      <w:pPr>
        <w:spacing w:after="70"/>
      </w:pPr>
      <w:r>
        <w:rPr>
          <w:rFonts w:ascii="Aptos" w:hAnsi="Aptos"/>
          <w:b/>
          <w:color w:val="2D3F98"/>
        </w:rPr>
        <w:t xml:space="preserve">Adverse Effect: </w:t>
      </w:r>
      <w:r>
        <w:rPr>
          <w:rFonts w:ascii="Aptos" w:hAnsi="Aptos"/>
        </w:rPr>
        <w:t>An act, omission, event, incident or circumstance that gives rise to prejudice to learners or potential learners, adversely affects the ability of an awarding organisation to develop, deliver or award qualifications in accordance with its requirements, adversely affects qualification standards, or damages public confidence in qualifications.</w:t>
      </w:r>
    </w:p>
    <w:p>
      <w:pPr>
        <w:spacing w:after="70"/>
      </w:pPr>
      <w:r>
        <w:rPr>
          <w:rFonts w:ascii="Aptos" w:hAnsi="Aptos"/>
          <w:b/>
          <w:color w:val="2D3F98"/>
        </w:rPr>
        <w:t xml:space="preserve">Amanuensis / Scribe: </w:t>
      </w:r>
      <w:r>
        <w:rPr>
          <w:rFonts w:ascii="Aptos" w:hAnsi="Aptos"/>
        </w:rPr>
        <w:t>An authorised assistant who records a learner’s dictated responses within the limits of an approved access arrangement or reasonable adjustment.</w:t>
      </w:r>
    </w:p>
    <w:p>
      <w:pPr>
        <w:spacing w:after="70"/>
      </w:pPr>
      <w:r>
        <w:rPr>
          <w:rFonts w:ascii="Aptos" w:hAnsi="Aptos"/>
          <w:b/>
          <w:color w:val="2D3F98"/>
        </w:rPr>
        <w:t xml:space="preserve">Approved Centre: </w:t>
      </w:r>
      <w:r>
        <w:rPr>
          <w:rFonts w:ascii="Aptos" w:hAnsi="Aptos"/>
        </w:rPr>
        <w:t>A centre approved and regulated by an Awarding Organisation to provide qualifications or assessment.</w:t>
      </w:r>
    </w:p>
    <w:p>
      <w:pPr>
        <w:spacing w:after="70"/>
      </w:pPr>
      <w:r>
        <w:rPr>
          <w:rFonts w:ascii="Aptos" w:hAnsi="Aptos"/>
          <w:b/>
          <w:color w:val="2D3F98"/>
        </w:rPr>
        <w:t xml:space="preserve">Malpractice: </w:t>
      </w:r>
      <w:r>
        <w:rPr>
          <w:rFonts w:ascii="Aptos" w:hAnsi="Aptos"/>
        </w:rPr>
        <w:t>Any irregular conduct through deliberate activity, neglect or default by a learner, member of staff, stakeholder or other party which gives unfair advantage, disadvantages others, or undermines assessment, qualifications or apprenticeship integrity. It may range from failures in records or systems to deliberate falsification or fraudulent claims. Failure by a centre to deal with identified issues may itself constitute malpractice.</w:t>
      </w:r>
    </w:p>
    <w:p>
      <w:pPr>
        <w:spacing w:after="70"/>
      </w:pPr>
      <w:r>
        <w:rPr>
          <w:rFonts w:ascii="Aptos" w:hAnsi="Aptos"/>
          <w:b/>
          <w:color w:val="2D3F98"/>
        </w:rPr>
        <w:t xml:space="preserve">Maladministration: </w:t>
      </w:r>
      <w:r>
        <w:rPr>
          <w:rFonts w:ascii="Aptos" w:hAnsi="Aptos"/>
        </w:rPr>
        <w:t>Any activity, neglect, default, inefficient or dishonest administration, or other practice that results in the centre or learner not complying with specified requirements for delivery, assessment, registration, record keeping, quality assurance or certification.</w:t>
      </w:r>
    </w:p>
    <w:p>
      <w:pPr>
        <w:spacing w:after="70"/>
      </w:pPr>
      <w:r>
        <w:rPr>
          <w:rFonts w:ascii="Aptos" w:hAnsi="Aptos"/>
          <w:b/>
          <w:color w:val="2D3F98"/>
        </w:rPr>
        <w:t xml:space="preserve">Plagiarism: </w:t>
      </w:r>
      <w:r>
        <w:rPr>
          <w:rFonts w:ascii="Aptos" w:hAnsi="Aptos"/>
        </w:rPr>
        <w:t>Taking, using or presenting another person’s thoughts, writing, inventions, work or other intellectual output as one’s own without appropriate acknowledgement. This includes published material used without citation, another learner’s work submitted as one’s own, and reuse of the same assessed work in another assessment where this is not permitted.</w:t>
      </w:r>
    </w:p>
    <w:p>
      <w:pPr>
        <w:spacing w:after="70"/>
      </w:pPr>
      <w:r>
        <w:rPr>
          <w:rFonts w:ascii="Aptos" w:hAnsi="Aptos"/>
        </w:rPr>
        <w:t>Collusion: Unauthorised collaboration or assistance between two or more people which results in assessed work, answers or evidence being presented as the independent work of an individual when the collaboration was not permitted. Collusion may involve jointly producing work, sharing answers/files/prompts, allowing work to be copied, or giving/receiving substantial assistance beyond the permitted limits of the assessment.</w:t>
      </w:r>
    </w:p>
    <w:p>
      <w:pPr/>
      <w:r>
        <w:rPr>
          <w:rFonts w:ascii="Aptos" w:hAnsi="Aptos"/>
        </w:rPr>
        <w:t>Cheating: Any deliberate or attempted act intended to gain, give or facilitate an unfair advantage in an assessment, examination or evidence process, including use of unauthorised materials, communication, devices, internet access, AI tools, third-party assistance, prior access to confidential assessment information, copying or other conduct that breaches the assessment conditions.</w:t>
      </w:r>
    </w:p>
    <w:p>
      <w:pPr/>
      <w:r>
        <w:rPr>
          <w:rFonts w:ascii="Aptos" w:hAnsi="Aptos"/>
        </w:rPr>
        <w:t>Contract cheating / third-party completion: Arranging for another person, business, online service, AI-enabled service or other third party to produce, substantially complete, rewrite or solve assessed work which is then submitted or presented as the learner's own. Payment is not required for the conduct to constitute contract cheating or third-party completion.</w:t>
      </w:r>
    </w:p>
    <w:p>
      <w:pPr>
        <w:spacing w:after="70"/>
      </w:pPr>
      <w:r>
        <w:rPr>
          <w:rFonts w:ascii="Aptos" w:hAnsi="Aptos"/>
          <w:b/>
          <w:color w:val="2D3F98"/>
        </w:rPr>
        <w:t xml:space="preserve">Fabrication / Falsification: </w:t>
      </w:r>
      <w:r>
        <w:rPr>
          <w:rFonts w:ascii="Aptos" w:hAnsi="Aptos"/>
        </w:rPr>
        <w:t>Inventing, changing or manipulating results, evidence, records, witness statements, dates, signatures, sources, references, media or other information in order to create a false impression of achievement or authenticity.</w:t>
      </w:r>
    </w:p>
    <w:p>
      <w:pPr>
        <w:spacing w:after="70"/>
      </w:pPr>
      <w:r>
        <w:rPr>
          <w:rFonts w:ascii="Aptos" w:hAnsi="Aptos"/>
          <w:b/>
          <w:color w:val="2D3F98"/>
        </w:rPr>
        <w:t xml:space="preserve">Artificial Intelligence (AI): </w:t>
      </w:r>
      <w:r>
        <w:rPr>
          <w:rFonts w:ascii="Aptos" w:hAnsi="Aptos"/>
        </w:rPr>
        <w:t>Computer systems capable of performing tasks associated with human intelligence, including generating, transforming, summarising, analysing or classifying text, images, audio, video, data or code.</w:t>
      </w:r>
    </w:p>
    <w:p>
      <w:pPr>
        <w:spacing w:after="70"/>
      </w:pPr>
      <w:r>
        <w:rPr>
          <w:rFonts w:ascii="Aptos" w:hAnsi="Aptos"/>
          <w:b/>
          <w:color w:val="2D3F98"/>
        </w:rPr>
        <w:t xml:space="preserve">Generative AI: </w:t>
      </w:r>
      <w:r>
        <w:rPr>
          <w:rFonts w:ascii="Aptos" w:hAnsi="Aptos"/>
        </w:rPr>
        <w:t>AI tools that generate new content in response to user input or prompts, including text, images, audio, video, code and other digital outputs.</w:t>
      </w:r>
    </w:p>
    <w:p>
      <w:pPr>
        <w:spacing w:after="70"/>
      </w:pPr>
      <w:r>
        <w:rPr>
          <w:rFonts w:ascii="Aptos" w:hAnsi="Aptos"/>
          <w:b/>
          <w:color w:val="2D3F98"/>
        </w:rPr>
        <w:t xml:space="preserve">Multimodal AI: </w:t>
      </w:r>
      <w:r>
        <w:rPr>
          <w:rFonts w:ascii="Aptos" w:hAnsi="Aptos"/>
        </w:rPr>
        <w:t>AI capable of receiving or generating more than one form of content, for example combinations of text, image, audio and video.</w:t>
      </w:r>
    </w:p>
    <w:p>
      <w:pPr>
        <w:spacing w:after="70"/>
      </w:pPr>
      <w:r>
        <w:rPr>
          <w:rFonts w:ascii="Aptos" w:hAnsi="Aptos"/>
          <w:b/>
          <w:color w:val="2D3F98"/>
        </w:rPr>
        <w:t xml:space="preserve">AI-assisted work: </w:t>
      </w:r>
      <w:r>
        <w:rPr>
          <w:rFonts w:ascii="Aptos" w:hAnsi="Aptos"/>
        </w:rPr>
        <w:t>Work where AI has supported part of the process but the learner remains responsible for the intellectual content, accuracy, judgement, sources and final submission.</w:t>
      </w:r>
    </w:p>
    <w:p>
      <w:pPr>
        <w:spacing w:after="70"/>
      </w:pPr>
      <w:r>
        <w:rPr>
          <w:rFonts w:ascii="Aptos" w:hAnsi="Aptos"/>
          <w:b/>
          <w:color w:val="2D3F98"/>
        </w:rPr>
        <w:t xml:space="preserve">AI misuse: </w:t>
      </w:r>
      <w:r>
        <w:rPr>
          <w:rFonts w:ascii="Aptos" w:hAnsi="Aptos"/>
        </w:rPr>
        <w:t>Use of AI in a way that breaches assessment instructions, misrepresents authorship, substitutes for the learner’s own required knowledge/skills/judgement, fabricates evidence or sources, creates an unfair advantage or otherwise undermines assessment validity.</w:t>
      </w:r>
    </w:p>
    <w:p>
      <w:pPr>
        <w:spacing w:after="70"/>
      </w:pPr>
      <w:r>
        <w:rPr>
          <w:rFonts w:ascii="Aptos" w:hAnsi="Aptos"/>
          <w:b/>
          <w:color w:val="2D3F98"/>
        </w:rPr>
        <w:t xml:space="preserve">AI hallucination: </w:t>
      </w:r>
      <w:r>
        <w:rPr>
          <w:rFonts w:ascii="Aptos" w:hAnsi="Aptos"/>
        </w:rPr>
        <w:t>A confident or plausible-looking AI output that is factually incorrect, unsupported, fabricated or misleading, including invented quotations, sources, references, calculations or events.</w:t>
      </w:r>
    </w:p>
    <w:p>
      <w:pPr>
        <w:spacing w:after="70"/>
      </w:pPr>
      <w:r>
        <w:rPr>
          <w:rFonts w:ascii="Aptos" w:hAnsi="Aptos"/>
          <w:b/>
          <w:color w:val="2D3F98"/>
        </w:rPr>
        <w:t xml:space="preserve">AI detection / automated indicator: </w:t>
      </w:r>
      <w:r>
        <w:rPr>
          <w:rFonts w:ascii="Aptos" w:hAnsi="Aptos"/>
        </w:rPr>
        <w:t>A technological tool or signal intended to identify possible AI-generated or manipulated content. It is an evidential indicator only and must not be treated as conclusive proof by itself.</w:t>
      </w:r>
    </w:p>
    <w:p>
      <w:pPr>
        <w:spacing w:after="70"/>
      </w:pPr>
      <w:r>
        <w:rPr>
          <w:rFonts w:ascii="Aptos" w:hAnsi="Aptos"/>
          <w:b/>
          <w:color w:val="2D3F98"/>
        </w:rPr>
        <w:t xml:space="preserve">Special-category data: </w:t>
      </w:r>
      <w:r>
        <w:rPr>
          <w:rFonts w:ascii="Aptos" w:hAnsi="Aptos"/>
        </w:rPr>
        <w:t>Personal data requiring additional protection under data-protection law, including categories such as health information, racial or ethnic origin, religious or philosophical beliefs, political opinions, trade union membership, genetic/biometric data for identification and data concerning a person’s sex life or sexual orientation.</w:t>
      </w:r>
    </w:p>
    <w:p>
      <w:pPr>
        <w:spacing w:after="70"/>
      </w:pPr>
      <w:r>
        <w:rPr>
          <w:rFonts w:ascii="Aptos" w:hAnsi="Aptos"/>
          <w:b/>
          <w:color w:val="2D3F98"/>
        </w:rPr>
        <w:t xml:space="preserve">Assistive technology / reasonable adjustment: </w:t>
      </w:r>
      <w:r>
        <w:rPr>
          <w:rFonts w:ascii="Aptos" w:hAnsi="Aptos"/>
        </w:rPr>
        <w:t>Approved support used to reduce a disadvantage without changing the competence being assessed. Where technology includes AI functionality, use must remain within the agreed adjustment and assessment rules.</w:t>
      </w:r>
    </w:p>
    <w:p>
      <w:pPr>
        <w:spacing w:after="70"/>
      </w:pPr>
      <w:r>
        <w:rPr>
          <w:rFonts w:ascii="Aptos" w:hAnsi="Aptos"/>
        </w:rPr>
        <w:t>Apprenticeship Assessment: Assessment of an apprentice's occupational competence under the current apprenticeship assessment framework. Assessment may take place at appropriate points during the apprenticeship in accordance with the applicable Apprenticeship Assessment Plan, rather than only at the end of the programme.</w:t>
      </w:r>
    </w:p>
    <w:p>
      <w:pPr>
        <w:spacing w:after="70"/>
      </w:pPr>
      <w:r>
        <w:rPr>
          <w:rFonts w:ascii="Aptos" w:hAnsi="Aptos"/>
        </w:rPr>
        <w:t>Assessment Organisation (apprenticeships): An organisation responsible for designing and/or delivering apprenticeship assessment in accordance with the applicable Apprenticeship Assessment Plan and regulatory requirements. This is distinct from the term Awarding Organisation where used in qualification regulation, although an organisation may perform both functions.</w:t>
      </w:r>
    </w:p>
    <w:p>
      <w:pPr/>
      <w:r>
        <w:rPr>
          <w:rFonts w:ascii="Aptos" w:hAnsi="Aptos"/>
        </w:rPr>
        <w:t>Legacy End Point Assessment (EPA) / End Point Assessment Organisation (EPAO): Terminology and arrangements that remain applicable to apprenticeships still operating under legacy assessment plans during the transition to the reformed Apprenticeship Assessment model. Qualia Academy will apply the requirements that relate to the specific apprentice and assessment plan in force.</w:t>
      </w:r>
    </w:p>
    <w:p>
      <w:pPr>
        <w:spacing w:after="70"/>
      </w:pPr>
      <w:r>
        <w:rPr>
          <w:rFonts w:ascii="Aptos" w:hAnsi="Aptos"/>
          <w:b/>
          <w:color w:val="2D3F98"/>
        </w:rPr>
        <w:t xml:space="preserve">Awarding Organisation / Awarding Body: </w:t>
      </w:r>
      <w:r>
        <w:rPr>
          <w:rFonts w:ascii="Aptos" w:hAnsi="Aptos"/>
        </w:rPr>
        <w:t>An organisation that awards qualifications and sets requirements for approved centres.</w:t>
      </w:r>
    </w:p>
    <w:p>
      <w:pPr>
        <w:spacing w:after="70"/>
      </w:pPr>
      <w:r>
        <w:rPr>
          <w:rFonts w:ascii="Aptos" w:hAnsi="Aptos"/>
        </w:rPr>
        <w:t>Stakeholder: May include a learner’s employer, apprenticeship Assessment Organisation, legacy EPAO, customer, supplier, user, visitor or other party associated with Qualia Academy delivery or assessment.</w:t>
      </w:r>
    </w:p>
    <w:p>
      <w:pPr>
        <w:pStyle w:val="Heading1"/>
      </w:pPr>
      <w:r>
        <w:rPr>
          <w:rFonts w:ascii="Aptos" w:hAnsi="Aptos"/>
          <w:b/>
          <w:color w:val="764689"/>
        </w:rPr>
        <w:t>4. Examples of Malpractice and Maladministration</w:t>
      </w:r>
    </w:p>
    <w:tbl>
      <w:tblPr>
        <w:tblW w:type="auto" w:w="0"/>
        <w:jc w:val="center"/>
        <w:tblLook w:firstColumn="1" w:firstRow="1" w:lastColumn="0" w:lastRow="0" w:noHBand="0" w:noVBand="1" w:val="04A0"/>
        <w:tblBorders>
          <w:top w:val="single" w:sz="6" w:space="0" w:color="C8B8D0"/>
          <w:left w:val="single" w:sz="6" w:space="0" w:color="C8B8D0"/>
          <w:bottom w:val="single" w:sz="6" w:space="0" w:color="C8B8D0"/>
          <w:right w:val="single" w:sz="6" w:space="0" w:color="C8B8D0"/>
          <w:insideH w:val="single" w:sz="6" w:space="0" w:color="C8B8D0"/>
          <w:insideV w:val="single" w:sz="6" w:space="0" w:color="C8B8D0"/>
        </w:tblBorders>
      </w:tblPr>
      <w:tblGrid>
        <w:gridCol w:w="10200"/>
      </w:tblGrid>
      <w:tr>
        <w:tc>
          <w:tcPr>
            <w:tcW w:type="dxa" w:w="10200"/>
            <w:shd w:fill="F7F2F9"/>
            <w:tcMar>
              <w:top w:w="130" w:type="dxa"/>
              <w:start w:w="150" w:type="dxa"/>
              <w:bottom w:w="130" w:type="dxa"/>
              <w:end w:w="150" w:type="dxa"/>
            </w:tcMar>
          </w:tcPr>
          <w:p>
            <w:r>
              <w:rPr>
                <w:rFonts w:ascii="Aptos" w:hAnsi="Aptos"/>
                <w:b/>
                <w:color w:val="764689"/>
              </w:rPr>
              <w:t xml:space="preserve">Important: </w:t>
            </w:r>
            <w:r>
              <w:rPr>
                <w:rFonts w:ascii="Aptos" w:hAnsi="Aptos"/>
              </w:rPr>
              <w:t>The following lists are not exhaustive. Other conduct may be treated as malpractice or maladministration where it compromises fairness, authenticity, security, compliance or the integrity of assessment.</w:t>
            </w:r>
          </w:p>
        </w:tc>
      </w:tr>
    </w:tbl>
    <w:p>
      <w:pPr>
        <w:spacing w:after="0"/>
      </w:pPr>
    </w:p>
    <w:p>
      <w:pPr>
        <w:pStyle w:val="Heading2"/>
      </w:pPr>
      <w:r>
        <w:rPr>
          <w:rFonts w:ascii="Aptos" w:hAnsi="Aptos"/>
          <w:b/>
          <w:color w:val="2D3F98"/>
        </w:rPr>
        <w:t>4.1 Learner / Student Malpractice</w:t>
      </w:r>
    </w:p>
    <w:p>
      <w:pPr>
        <w:pStyle w:val="ListBullet"/>
        <w:spacing w:after="50"/>
      </w:pPr>
      <w:r>
        <w:rPr>
          <w:rFonts w:ascii="Aptos" w:hAnsi="Aptos"/>
        </w:rPr>
        <w:t>Plagiarism, including copying another learner’s work or a published source, including use of ICT to aid copying.</w:t>
      </w:r>
    </w:p>
    <w:p>
      <w:pPr>
        <w:pStyle w:val="ListBullet"/>
        <w:spacing w:after="50"/>
      </w:pPr>
      <w:r>
        <w:rPr>
          <w:rFonts w:ascii="Aptos" w:hAnsi="Aptos"/>
        </w:rPr>
        <w:t>Collusion or unauthorised collaboration, including giving or receiving work, answers or substantial assistance beyond what the assessment permits (see section 4.2).</w:t>
      </w:r>
    </w:p>
    <w:p>
      <w:pPr>
        <w:pStyle w:val="ListBullet"/>
        <w:spacing w:after="50"/>
      </w:pPr>
      <w:r>
        <w:rPr>
          <w:rFonts w:ascii="Aptos" w:hAnsi="Aptos"/>
        </w:rPr>
        <w:t>Deliberate destruction of another learner’s work for assessment.</w:t>
      </w:r>
    </w:p>
    <w:p>
      <w:pPr>
        <w:pStyle w:val="ListBullet"/>
        <w:spacing w:after="50"/>
      </w:pPr>
      <w:r>
        <w:rPr>
          <w:rFonts w:ascii="Aptos" w:hAnsi="Aptos"/>
        </w:rPr>
        <w:t>Fabrication or falsification of results, evidence, data, logs, witness statements, references or records.</w:t>
      </w:r>
    </w:p>
    <w:p>
      <w:pPr>
        <w:pStyle w:val="ListBullet"/>
        <w:spacing w:after="50"/>
      </w:pPr>
      <w:r>
        <w:rPr>
          <w:rFonts w:ascii="Aptos" w:hAnsi="Aptos"/>
        </w:rPr>
        <w:t>False declaration of authenticity in relation to portfolio, coursework or other evidence.</w:t>
      </w:r>
    </w:p>
    <w:p>
      <w:pPr>
        <w:pStyle w:val="ListBullet"/>
        <w:spacing w:after="50"/>
      </w:pPr>
      <w:r>
        <w:rPr>
          <w:rFonts w:ascii="Aptos" w:hAnsi="Aptos"/>
        </w:rPr>
        <w:t>Impersonation by pretending to be someone else to produce work for another learner, or arranging for another person to take one’s place in an assessment, examination or test.</w:t>
      </w:r>
    </w:p>
    <w:p>
      <w:pPr>
        <w:pStyle w:val="ListBullet"/>
        <w:spacing w:after="50"/>
      </w:pPr>
      <w:r>
        <w:rPr>
          <w:rFonts w:ascii="Aptos" w:hAnsi="Aptos"/>
        </w:rPr>
        <w:t>Reuse of previously assessed work in another assessment where this is not permitted.</w:t>
      </w:r>
    </w:p>
    <w:p>
      <w:pPr>
        <w:pStyle w:val="ListBullet"/>
        <w:spacing w:after="50"/>
      </w:pPr>
      <w:r>
        <w:rPr>
          <w:rFonts w:ascii="Aptos" w:hAnsi="Aptos"/>
        </w:rPr>
        <w:t>Theft or unauthorised use of images, footage, records or other evidence to fraudulently complete practical or commercial assessment.</w:t>
      </w:r>
    </w:p>
    <w:p>
      <w:pPr>
        <w:pStyle w:val="ListBullet"/>
        <w:spacing w:after="50"/>
      </w:pPr>
      <w:r>
        <w:rPr>
          <w:rFonts w:ascii="Aptos" w:hAnsi="Aptos"/>
        </w:rPr>
        <w:t>Unauthorised use of notes, internet resources, mobile devices, messaging, AI tools or other aids in controlled assessment or examinations.</w:t>
      </w:r>
    </w:p>
    <w:p>
      <w:pPr>
        <w:pStyle w:val="ListBullet"/>
        <w:spacing w:after="50"/>
      </w:pPr>
      <w:r>
        <w:rPr>
          <w:rFonts w:ascii="Aptos" w:hAnsi="Aptos"/>
        </w:rPr>
        <w:t>Cheating, contract cheating, commissioning or obtaining third-party completion, and other deliberate attempts to secure unfair advantage (see section 4.3).</w:t>
      </w:r>
    </w:p>
    <w:p>
      <w:pPr>
        <w:pStyle w:val="ListBullet"/>
        <w:spacing w:after="50"/>
      </w:pPr>
      <w:r>
        <w:rPr>
          <w:rFonts w:ascii="Aptos" w:hAnsi="Aptos"/>
        </w:rPr>
        <w:t>AI misuse as detailed in section 5.</w:t>
      </w:r>
    </w:p>
    <w:p>
      <w:pPr>
        <w:pStyle w:val="Heading2"/>
      </w:pPr>
      <w:r>
        <w:rPr>
          <w:rFonts w:ascii="Aptos" w:hAnsi="Aptos"/>
        </w:rPr>
        <w:t>4.2 Collusion</w:t>
      </w:r>
    </w:p>
    <w:p>
      <w:pPr/>
      <w:r>
        <w:rPr>
          <w:rFonts w:ascii="Aptos" w:hAnsi="Aptos"/>
        </w:rPr>
        <w:t>Collusion is different from legitimate collaborative learning. Discussion, group activity, peer support or teamworking may be educationally appropriate where the assessment permits it. Collusion occurs when the level of cooperation crosses the permitted boundary and an assessor can no longer be confident that the submitted evidence demonstrates the individual learner's own achievement.</w:t>
      </w:r>
    </w:p>
    <w:p>
      <w:pPr>
        <w:pStyle w:val="Heading3"/>
      </w:pPr>
      <w:r>
        <w:rPr>
          <w:rFonts w:ascii="Aptos" w:hAnsi="Aptos"/>
        </w:rPr>
        <w:t>4.2.1 Permitted Collaboration Is Not Collusion</w:t>
      </w:r>
    </w:p>
    <w:p>
      <w:pPr>
        <w:pStyle w:val="ListBullet"/>
      </w:pPr>
      <w:r>
        <w:rPr>
          <w:rFonts w:ascii="Aptos" w:hAnsi="Aptos"/>
        </w:rPr>
        <w:t>Working together on a group task where the assessment brief explicitly requires group production and the group output is assessed as a group.</w:t>
      </w:r>
    </w:p>
    <w:p>
      <w:pPr>
        <w:pStyle w:val="ListBullet"/>
      </w:pPr>
      <w:r>
        <w:rPr>
          <w:rFonts w:ascii="Aptos" w:hAnsi="Aptos"/>
        </w:rPr>
        <w:t>Discussing general concepts, taught content or approaches before an individual assessment where such discussion is permitted.</w:t>
      </w:r>
    </w:p>
    <w:p>
      <w:pPr>
        <w:pStyle w:val="ListBullet"/>
      </w:pPr>
      <w:r>
        <w:rPr>
          <w:rFonts w:ascii="Aptos" w:hAnsi="Aptos"/>
        </w:rPr>
        <w:t>Peer review, proofreading or feedback that is explicitly permitted and does not rewrite, generate or materially determine the assessed content.</w:t>
      </w:r>
    </w:p>
    <w:p>
      <w:pPr>
        <w:pStyle w:val="ListBullet"/>
      </w:pPr>
      <w:r>
        <w:rPr>
          <w:rFonts w:ascii="Aptos" w:hAnsi="Aptos"/>
        </w:rPr>
        <w:t>Sharing public or tutor-approved resources where all learners are permitted to access them.</w:t>
      </w:r>
    </w:p>
    <w:p>
      <w:pPr>
        <w:pStyle w:val="ListBullet"/>
      </w:pPr>
      <w:r>
        <w:rPr>
          <w:rFonts w:ascii="Aptos" w:hAnsi="Aptos"/>
        </w:rPr>
        <w:t>Authorised workplace teamwork where the learner's own contribution can still be separately identified and authenticated.</w:t>
      </w:r>
    </w:p>
    <w:p>
      <w:pPr>
        <w:pStyle w:val="ListBullet"/>
      </w:pPr>
      <w:r>
        <w:rPr>
          <w:rFonts w:ascii="Aptos" w:hAnsi="Aptos"/>
        </w:rPr>
        <w:t>Approved reasonable adjustments, learning support or assistive technology that support access without performing the competence being assessed.</w:t>
      </w:r>
    </w:p>
    <w:p>
      <w:pPr>
        <w:pStyle w:val="Heading3"/>
      </w:pPr>
      <w:r>
        <w:rPr>
          <w:rFonts w:ascii="Aptos" w:hAnsi="Aptos"/>
        </w:rPr>
        <w:t>4.2.2 Examples of Collusion</w:t>
      </w:r>
    </w:p>
    <w:p>
      <w:pPr>
        <w:pStyle w:val="ListBullet"/>
      </w:pPr>
      <w:r>
        <w:rPr>
          <w:rFonts w:ascii="Aptos" w:hAnsi="Aptos"/>
        </w:rPr>
        <w:t>Two or more learners jointly drafting an assignment, report, reflective account, presentation, calculation, code or other evidence that is required to be individual work.</w:t>
      </w:r>
    </w:p>
    <w:p>
      <w:pPr>
        <w:pStyle w:val="ListBullet"/>
      </w:pPr>
      <w:r>
        <w:rPr>
          <w:rFonts w:ascii="Aptos" w:hAnsi="Aptos"/>
        </w:rPr>
        <w:t>Sharing a completed or partially completed assessment file, answer, model response, spreadsheet, code, design, image, video, prompt or AI output so another learner can copy, adapt or submit it.</w:t>
      </w:r>
    </w:p>
    <w:p>
      <w:pPr>
        <w:pStyle w:val="ListBullet"/>
      </w:pPr>
      <w:r>
        <w:rPr>
          <w:rFonts w:ascii="Aptos" w:hAnsi="Aptos"/>
        </w:rPr>
        <w:t>Allowing another learner to copy work, showing answers during an assessment, or knowingly posting work where another learner can access it before submission.</w:t>
      </w:r>
    </w:p>
    <w:p>
      <w:pPr>
        <w:pStyle w:val="ListBullet"/>
      </w:pPr>
      <w:r>
        <w:rPr>
          <w:rFonts w:ascii="Aptos" w:hAnsi="Aptos"/>
        </w:rPr>
        <w:t>Using shared online documents, messaging, screen sharing, remote-control software, group chats or other communications to give or receive answers during a controlled or individual assessment.</w:t>
      </w:r>
    </w:p>
    <w:p>
      <w:pPr>
        <w:pStyle w:val="ListBullet"/>
      </w:pPr>
      <w:r>
        <w:rPr>
          <w:rFonts w:ascii="Aptos" w:hAnsi="Aptos"/>
        </w:rPr>
        <w:t>Dividing an individual assignment between learners so each person completes a section and the sections are then combined and submitted separately as individual work.</w:t>
      </w:r>
    </w:p>
    <w:p>
      <w:pPr>
        <w:pStyle w:val="ListBullet"/>
      </w:pPr>
      <w:r>
        <w:rPr>
          <w:rFonts w:ascii="Aptos" w:hAnsi="Aptos"/>
        </w:rPr>
        <w:t>Producing substantially identical individual reflections, evaluations or conclusions after a group project where those elements are required to evidence each learner's own thinking.</w:t>
      </w:r>
    </w:p>
    <w:p>
      <w:pPr>
        <w:pStyle w:val="ListBullet"/>
      </w:pPr>
      <w:r>
        <w:rPr>
          <w:rFonts w:ascii="Aptos" w:hAnsi="Aptos"/>
        </w:rPr>
        <w:t>One learner substantially rewriting or correcting another learner's work beyond the level of support permitted by the assessment.</w:t>
      </w:r>
    </w:p>
    <w:p>
      <w:pPr>
        <w:pStyle w:val="ListBullet"/>
      </w:pPr>
      <w:r>
        <w:rPr>
          <w:rFonts w:ascii="Aptos" w:hAnsi="Aptos"/>
        </w:rPr>
        <w:t>Coordinating AI prompts or sharing AI-generated answers for the purpose of producing individual submissions that do not represent each learner's independent work.</w:t>
      </w:r>
    </w:p>
    <w:p>
      <w:pPr>
        <w:pStyle w:val="ListBullet"/>
      </w:pPr>
      <w:r>
        <w:rPr>
          <w:rFonts w:ascii="Aptos" w:hAnsi="Aptos"/>
        </w:rPr>
        <w:t>Obtaining another learner's login credentials or accessing their assessment account/files to copy or alter work.</w:t>
      </w:r>
    </w:p>
    <w:p>
      <w:pPr>
        <w:pStyle w:val="ListBullet"/>
      </w:pPr>
      <w:r>
        <w:rPr>
          <w:rFonts w:ascii="Aptos" w:hAnsi="Aptos"/>
        </w:rPr>
        <w:t>Knowingly facilitating collusion, even where the person enabling the conduct does not personally submit copied work.</w:t>
      </w:r>
    </w:p>
    <w:p>
      <w:pPr/>
      <w:r>
        <w:rPr>
          <w:rFonts w:ascii="Aptos" w:hAnsi="Aptos"/>
        </w:rPr>
        <w:t>Similarity alone is not proof of collusion. Common terminology, the use of the same taught model, the same assessment brief or legitimate group activity may produce similarities. Qualia Academy will consider the extent, pattern and context of similarities together with wider evidence before reaching a conclusion.</w:t>
      </w:r>
    </w:p>
    <w:p>
      <w:pPr>
        <w:pStyle w:val="Heading2"/>
      </w:pPr>
      <w:r>
        <w:rPr>
          <w:rFonts w:ascii="Aptos" w:hAnsi="Aptos"/>
        </w:rPr>
        <w:t>4.3 Cheating and Unfair Advantage</w:t>
      </w:r>
    </w:p>
    <w:p>
      <w:pPr/>
      <w:r>
        <w:rPr>
          <w:rFonts w:ascii="Aptos" w:hAnsi="Aptos"/>
        </w:rPr>
        <w:t>Cheating is any deliberate or attempted action that breaches assessment conditions in order to obtain, give or facilitate an unfair advantage. The definition applies whether or not the attempt succeeds and whether or not the learner ultimately gains marks, credit or certification.</w:t>
      </w:r>
    </w:p>
    <w:p>
      <w:pPr>
        <w:pStyle w:val="Heading3"/>
      </w:pPr>
      <w:r>
        <w:rPr>
          <w:rFonts w:ascii="Aptos" w:hAnsi="Aptos"/>
        </w:rPr>
        <w:t>4.3.1 Examples of Cheating</w:t>
      </w:r>
    </w:p>
    <w:p>
      <w:pPr>
        <w:pStyle w:val="ListBullet"/>
      </w:pPr>
      <w:r>
        <w:rPr>
          <w:rFonts w:ascii="Aptos" w:hAnsi="Aptos"/>
        </w:rPr>
        <w:t>Using or possessing unauthorised notes, study aids, websites, search engines, calculators, translation tools, memory devices, mobile phones, watches, smart glasses, earbuds, smart devices or other materials where they are prohibited.</w:t>
      </w:r>
    </w:p>
    <w:p>
      <w:pPr>
        <w:pStyle w:val="ListBullet"/>
      </w:pPr>
      <w:r>
        <w:rPr>
          <w:rFonts w:ascii="Aptos" w:hAnsi="Aptos"/>
        </w:rPr>
        <w:t>Accessing AI tools, AI assistants, browser extensions, AI-enabled word-processing features, internet resources or messaging services during an assessment where access is not permitted.</w:t>
      </w:r>
    </w:p>
    <w:p>
      <w:pPr>
        <w:pStyle w:val="ListBullet"/>
      </w:pPr>
      <w:r>
        <w:rPr>
          <w:rFonts w:ascii="Aptos" w:hAnsi="Aptos"/>
        </w:rPr>
        <w:t>Copying from another learner, viewing another learner's screen or work, or using technology to facilitate copying.</w:t>
      </w:r>
    </w:p>
    <w:p>
      <w:pPr>
        <w:pStyle w:val="ListBullet"/>
      </w:pPr>
      <w:r>
        <w:rPr>
          <w:rFonts w:ascii="Aptos" w:hAnsi="Aptos"/>
        </w:rPr>
        <w:t>Communicating, attempting to communicate or exchanging assessment-related information during a controlled assessment by talking, writing, gestures, messaging, social media, email, shared documents or electronic devices.</w:t>
      </w:r>
    </w:p>
    <w:p>
      <w:pPr>
        <w:pStyle w:val="ListBullet"/>
      </w:pPr>
      <w:r>
        <w:rPr>
          <w:rFonts w:ascii="Aptos" w:hAnsi="Aptos"/>
        </w:rPr>
        <w:t>Obtaining, seeking, receiving, sharing or distributing confidential, live, leaked, stolen or otherwise unauthorised assessment material before or during an assessment.</w:t>
      </w:r>
    </w:p>
    <w:p>
      <w:pPr>
        <w:pStyle w:val="ListBullet"/>
      </w:pPr>
      <w:r>
        <w:rPr>
          <w:rFonts w:ascii="Aptos" w:hAnsi="Aptos"/>
        </w:rPr>
        <w:t>Receiving live assistance from another person during a remote or in-person assessment, including through messaging, screen sharing, remote access or audio communication.</w:t>
      </w:r>
    </w:p>
    <w:p>
      <w:pPr>
        <w:pStyle w:val="ListBullet"/>
      </w:pPr>
      <w:r>
        <w:rPr>
          <w:rFonts w:ascii="Aptos" w:hAnsi="Aptos"/>
        </w:rPr>
        <w:t>Impersonating another learner, arranging to be impersonated, using cloned voice/video, synthetic media or another identity to complete assessment activity.</w:t>
      </w:r>
    </w:p>
    <w:p>
      <w:pPr>
        <w:pStyle w:val="ListBullet"/>
      </w:pPr>
      <w:r>
        <w:rPr>
          <w:rFonts w:ascii="Aptos" w:hAnsi="Aptos"/>
        </w:rPr>
        <w:t>Falsifying attendance, assessment timing, practical activity, employer evidence, witness statements, logs, calculations, records, screenshots, images, audio or video.</w:t>
      </w:r>
    </w:p>
    <w:p>
      <w:pPr>
        <w:pStyle w:val="ListBullet"/>
      </w:pPr>
      <w:r>
        <w:rPr>
          <w:rFonts w:ascii="Aptos" w:hAnsi="Aptos"/>
        </w:rPr>
        <w:t>Using a prohibited translation, paraphrasing, rewriting, grammar or AI tool where the tool materially creates the language, analysis or response being assessed.</w:t>
      </w:r>
    </w:p>
    <w:p>
      <w:pPr>
        <w:pStyle w:val="ListBullet"/>
      </w:pPr>
      <w:r>
        <w:rPr>
          <w:rFonts w:ascii="Aptos" w:hAnsi="Aptos"/>
        </w:rPr>
        <w:t>Tampering with assessment systems, metadata, version history, submission records, audit trails, access controls or digital evidence in order to conceal misconduct or create a false record.</w:t>
      </w:r>
    </w:p>
    <w:p>
      <w:pPr>
        <w:pStyle w:val="ListBullet"/>
      </w:pPr>
      <w:r>
        <w:rPr>
          <w:rFonts w:ascii="Aptos" w:hAnsi="Aptos"/>
        </w:rPr>
        <w:t>Misusing a reasonable adjustment, access arrangement or assistive technology beyond the agreed limits so that it provides the substantive answer or competence being assessed.</w:t>
      </w:r>
    </w:p>
    <w:p>
      <w:pPr>
        <w:pStyle w:val="ListBullet"/>
      </w:pPr>
      <w:r>
        <w:rPr>
          <w:rFonts w:ascii="Aptos" w:hAnsi="Aptos"/>
        </w:rPr>
        <w:t>Bribing, pressuring, coercing or attempting to improperly influence a learner, member of staff, assessor, invigilator, witness or other person involved in assessment.</w:t>
      </w:r>
    </w:p>
    <w:p>
      <w:pPr>
        <w:pStyle w:val="ListBullet"/>
      </w:pPr>
      <w:r>
        <w:rPr>
          <w:rFonts w:ascii="Aptos" w:hAnsi="Aptos"/>
        </w:rPr>
        <w:t>Facilitating cheating by supplying answers, devices, access credentials, confidential information, assessment materials or other unauthorised assistance to another learner.</w:t>
      </w:r>
    </w:p>
    <w:p>
      <w:pPr>
        <w:pStyle w:val="Heading3"/>
      </w:pPr>
      <w:r>
        <w:rPr>
          <w:rFonts w:ascii="Aptos" w:hAnsi="Aptos"/>
        </w:rPr>
        <w:t>4.3.2 Contract Cheating / Third-Party Completion</w:t>
      </w:r>
    </w:p>
    <w:p>
      <w:pPr>
        <w:pStyle w:val="ListBullet"/>
      </w:pPr>
      <w:r>
        <w:rPr>
          <w:rFonts w:ascii="Aptos" w:hAnsi="Aptos"/>
        </w:rPr>
        <w:t>Purchasing, commissioning or obtaining an assignment, report, presentation, code, calculation, portfolio evidence or other assessed work from another person or service.</w:t>
      </w:r>
    </w:p>
    <w:p>
      <w:pPr>
        <w:pStyle w:val="ListBullet"/>
      </w:pPr>
      <w:r>
        <w:rPr>
          <w:rFonts w:ascii="Aptos" w:hAnsi="Aptos"/>
        </w:rPr>
        <w:t>Asking a friend, colleague, family member, tutor, consultant, online service or other third party to complete or substantially rewrite assessed work.</w:t>
      </w:r>
    </w:p>
    <w:p>
      <w:pPr>
        <w:pStyle w:val="ListBullet"/>
      </w:pPr>
      <w:r>
        <w:rPr>
          <w:rFonts w:ascii="Aptos" w:hAnsi="Aptos"/>
        </w:rPr>
        <w:t>Using an AI-enabled service or human-assisted service to produce substantive assessed content where the assessment requires the learner's own independent work.</w:t>
      </w:r>
    </w:p>
    <w:p>
      <w:pPr>
        <w:pStyle w:val="ListBullet"/>
      </w:pPr>
      <w:r>
        <w:rPr>
          <w:rFonts w:ascii="Aptos" w:hAnsi="Aptos"/>
        </w:rPr>
        <w:t>Submitting work obtained from an essay bank, file-sharing site, repository, previous learner or commercial provider as the learner's own.</w:t>
      </w:r>
    </w:p>
    <w:p>
      <w:pPr>
        <w:pStyle w:val="ListBullet"/>
      </w:pPr>
      <w:r>
        <w:rPr>
          <w:rFonts w:ascii="Aptos" w:hAnsi="Aptos"/>
        </w:rPr>
        <w:t>Arranging for another person to participate in an oral assessment, practical assessment, test or professional discussion in place of the learner.</w:t>
      </w:r>
    </w:p>
    <w:p>
      <w:pPr/>
      <w:r>
        <w:rPr>
          <w:rFonts w:ascii="Aptos" w:hAnsi="Aptos"/>
        </w:rPr>
        <w:t>The fact that no payment was made does not make third-party completion acceptable. Where a person knowingly produces work for another learner or facilitates the arrangement, their conduct may also be treated as malpractice where Qualia Academy has jurisdiction or may be reported to the relevant employer, Awarding Organisation, apprenticeship Assessment Organisation, legacy EPAO or other body as appropriate.</w:t>
      </w:r>
    </w:p>
    <w:p>
      <w:pPr>
        <w:pStyle w:val="Heading2"/>
      </w:pPr>
      <w:r>
        <w:rPr>
          <w:rFonts w:ascii="Aptos" w:hAnsi="Aptos"/>
        </w:rPr>
        <w:t>4.4 Staff Malpractice / Maladministration</w:t>
      </w:r>
    </w:p>
    <w:p>
      <w:pPr>
        <w:pStyle w:val="ListBullet"/>
        <w:spacing w:after="50"/>
      </w:pPr>
      <w:r>
        <w:rPr>
          <w:rFonts w:ascii="Aptos" w:hAnsi="Aptos"/>
        </w:rPr>
        <w:t>Unfair discrimination in assessment, including decisions based on protected or otherwise irrelevant characteristics.</w:t>
      </w:r>
    </w:p>
    <w:p>
      <w:pPr>
        <w:pStyle w:val="ListBullet"/>
        <w:spacing w:after="50"/>
      </w:pPr>
      <w:r>
        <w:rPr>
          <w:rFonts w:ascii="Aptos" w:hAnsi="Aptos"/>
        </w:rPr>
        <w:t>Deliberate or wilful failure to assess in accordance with assessment criteria or other assessment requirements.</w:t>
      </w:r>
    </w:p>
    <w:p>
      <w:pPr>
        <w:pStyle w:val="ListBullet"/>
        <w:spacing w:after="50"/>
      </w:pPr>
      <w:r>
        <w:rPr>
          <w:rFonts w:ascii="Aptos" w:hAnsi="Aptos"/>
        </w:rPr>
        <w:t>Assisting or prompting learners with production of answers in a way that influences the assessment outcome.</w:t>
      </w:r>
    </w:p>
    <w:p>
      <w:pPr>
        <w:pStyle w:val="ListBullet"/>
        <w:spacing w:after="50"/>
      </w:pPr>
      <w:r>
        <w:rPr>
          <w:rFonts w:ascii="Aptos" w:hAnsi="Aptos"/>
        </w:rPr>
        <w:t>Obtaining or allowing unauthorised access to assessment material before, during or after assessment.</w:t>
      </w:r>
    </w:p>
    <w:p>
      <w:pPr>
        <w:pStyle w:val="ListBullet"/>
        <w:spacing w:after="50"/>
      </w:pPr>
      <w:r>
        <w:rPr>
          <w:rFonts w:ascii="Aptos" w:hAnsi="Aptos"/>
        </w:rPr>
        <w:t>Failure to abide by supervision conditions designed to ensure assessment security.</w:t>
      </w:r>
    </w:p>
    <w:p>
      <w:pPr>
        <w:pStyle w:val="ListBullet"/>
        <w:spacing w:after="50"/>
      </w:pPr>
      <w:r>
        <w:rPr>
          <w:rFonts w:ascii="Aptos" w:hAnsi="Aptos"/>
        </w:rPr>
        <w:t>Fraudulent certificate or qualification claims.</w:t>
      </w:r>
    </w:p>
    <w:p>
      <w:pPr>
        <w:pStyle w:val="ListBullet"/>
        <w:spacing w:after="50"/>
      </w:pPr>
      <w:r>
        <w:rPr>
          <w:rFonts w:ascii="Aptos" w:hAnsi="Aptos"/>
        </w:rPr>
        <w:t>Inventing or changing marks for internally assessed work, coursework or portfolio evidence.</w:t>
      </w:r>
    </w:p>
    <w:p>
      <w:pPr>
        <w:pStyle w:val="ListBullet"/>
        <w:spacing w:after="50"/>
      </w:pPr>
      <w:r>
        <w:rPr>
          <w:rFonts w:ascii="Aptos" w:hAnsi="Aptos"/>
        </w:rPr>
        <w:t>Failure to keep learner coursework, portfolios or assessment records secure.</w:t>
      </w:r>
    </w:p>
    <w:p>
      <w:pPr>
        <w:pStyle w:val="ListBullet"/>
        <w:spacing w:after="50"/>
      </w:pPr>
      <w:r>
        <w:rPr>
          <w:rFonts w:ascii="Aptos" w:hAnsi="Aptos"/>
        </w:rPr>
        <w:t>Adding dates or signatures to evidence after assessment in a way that creates a false record.</w:t>
      </w:r>
    </w:p>
    <w:p>
      <w:pPr>
        <w:pStyle w:val="ListBullet"/>
        <w:spacing w:after="50"/>
      </w:pPr>
      <w:r>
        <w:rPr>
          <w:rFonts w:ascii="Aptos" w:hAnsi="Aptos"/>
        </w:rPr>
        <w:t>Inventing or changing evidence submissions where there is insufficient evidence of learner achievement to justify assessment or IQA decisions.</w:t>
      </w:r>
    </w:p>
    <w:p>
      <w:pPr>
        <w:pStyle w:val="ListBullet"/>
        <w:spacing w:after="50"/>
      </w:pPr>
      <w:r>
        <w:rPr>
          <w:rFonts w:ascii="Aptos" w:hAnsi="Aptos"/>
        </w:rPr>
        <w:t>Producing falsified witness statements or observation records for evidence a learner has not generated.</w:t>
      </w:r>
    </w:p>
    <w:p>
      <w:pPr>
        <w:pStyle w:val="ListBullet"/>
        <w:spacing w:after="50"/>
      </w:pPr>
      <w:r>
        <w:rPr>
          <w:rFonts w:ascii="Aptos" w:hAnsi="Aptos"/>
        </w:rPr>
        <w:t>Allowing evidence known by staff not to be the learner’s own.</w:t>
      </w:r>
    </w:p>
    <w:p>
      <w:pPr>
        <w:pStyle w:val="ListBullet"/>
        <w:spacing w:after="50"/>
      </w:pPr>
      <w:r>
        <w:rPr>
          <w:rFonts w:ascii="Aptos" w:hAnsi="Aptos"/>
        </w:rPr>
        <w:t>Facilitating or allowing impersonation.</w:t>
      </w:r>
    </w:p>
    <w:p>
      <w:pPr>
        <w:pStyle w:val="ListBullet"/>
        <w:spacing w:after="50"/>
      </w:pPr>
      <w:r>
        <w:rPr>
          <w:rFonts w:ascii="Aptos" w:hAnsi="Aptos"/>
        </w:rPr>
        <w:t>Misusing reasonable adjustments or special considerations where support goes beyond the agreed adjustment and influences the assessment outcome.</w:t>
      </w:r>
    </w:p>
    <w:p>
      <w:pPr>
        <w:pStyle w:val="ListBullet"/>
        <w:spacing w:after="50"/>
      </w:pPr>
      <w:r>
        <w:rPr>
          <w:rFonts w:ascii="Aptos" w:hAnsi="Aptos"/>
        </w:rPr>
        <w:t>Using AI to generate, alter or fabricate learner evidence, assessment decisions, IQA decisions, witness evidence, records or feedback in a way that misrepresents the judgement actually made.</w:t>
      </w:r>
    </w:p>
    <w:p>
      <w:pPr>
        <w:pStyle w:val="ListBullet"/>
        <w:spacing w:after="50"/>
      </w:pPr>
      <w:r>
        <w:rPr>
          <w:rFonts w:ascii="Aptos" w:hAnsi="Aptos"/>
        </w:rPr>
        <w:t>Entering confidential, sensitive, personal, special-category or secure assessment information into an AI service where this is not authorised by Qualia Academy and applicable data/security requirements.</w:t>
      </w:r>
    </w:p>
    <w:p>
      <w:pPr>
        <w:pStyle w:val="ListBullet"/>
        <w:spacing w:after="50"/>
      </w:pPr>
      <w:r>
        <w:rPr>
          <w:rFonts w:ascii="Aptos" w:hAnsi="Aptos"/>
        </w:rPr>
        <w:t>Allowing an AI system or automated tool to become the sole assessor or sole IQA decision-maker where human professional judgement is required.</w:t>
      </w:r>
    </w:p>
    <w:p>
      <w:pPr>
        <w:pStyle w:val="Heading2"/>
      </w:pPr>
      <w:r>
        <w:rPr>
          <w:rFonts w:ascii="Aptos" w:hAnsi="Aptos"/>
        </w:rPr>
        <w:t>4.5 Centre Maladministration / Malpractice</w:t>
      </w:r>
    </w:p>
    <w:p>
      <w:pPr>
        <w:pStyle w:val="ListBullet"/>
        <w:spacing w:after="50"/>
      </w:pPr>
      <w:r>
        <w:rPr>
          <w:rFonts w:ascii="Aptos" w:hAnsi="Aptos"/>
        </w:rPr>
        <w:t>Failure to provide appropriate facilities for security of assessment and assessment records.</w:t>
      </w:r>
    </w:p>
    <w:p>
      <w:pPr>
        <w:pStyle w:val="ListBullet"/>
        <w:spacing w:after="50"/>
      </w:pPr>
      <w:r>
        <w:rPr>
          <w:rFonts w:ascii="Aptos" w:hAnsi="Aptos"/>
        </w:rPr>
        <w:t>Failure to keep externally set assessment papers secure before or after assessment.</w:t>
      </w:r>
    </w:p>
    <w:p>
      <w:pPr>
        <w:pStyle w:val="ListBullet"/>
        <w:spacing w:after="50"/>
      </w:pPr>
      <w:r>
        <w:rPr>
          <w:rFonts w:ascii="Aptos" w:hAnsi="Aptos"/>
        </w:rPr>
        <w:t>Failure to keep learner, computer or other files secure.</w:t>
      </w:r>
    </w:p>
    <w:p>
      <w:pPr>
        <w:pStyle w:val="ListBullet"/>
        <w:spacing w:after="50"/>
      </w:pPr>
      <w:r>
        <w:rPr>
          <w:rFonts w:ascii="Aptos" w:hAnsi="Aptos"/>
        </w:rPr>
        <w:t>Failure to provide learner assessment records to Awarding Organisations or representatives when required.</w:t>
      </w:r>
    </w:p>
    <w:p>
      <w:pPr>
        <w:pStyle w:val="ListBullet"/>
        <w:spacing w:after="50"/>
      </w:pPr>
      <w:r>
        <w:rPr>
          <w:rFonts w:ascii="Aptos" w:hAnsi="Aptos"/>
        </w:rPr>
        <w:t>Failure to register learners with Awarding Organisations such that learners are prevented from obtaining the units or qualifications they are taking.</w:t>
      </w:r>
    </w:p>
    <w:p>
      <w:pPr>
        <w:pStyle w:val="ListBullet"/>
        <w:spacing w:after="50"/>
      </w:pPr>
      <w:r>
        <w:rPr>
          <w:rFonts w:ascii="Aptos" w:hAnsi="Aptos"/>
        </w:rPr>
        <w:t>Consistent failure to follow actions resulting from external quality assurance visits.</w:t>
      </w:r>
    </w:p>
    <w:p>
      <w:pPr>
        <w:pStyle w:val="ListBullet"/>
        <w:spacing w:after="50"/>
      </w:pPr>
      <w:r>
        <w:rPr>
          <w:rFonts w:ascii="Aptos" w:hAnsi="Aptos"/>
        </w:rPr>
        <w:t>Insufficient management of conflicts of interest, including assessment of own staff, family members or others where independence is compromised.</w:t>
      </w:r>
    </w:p>
    <w:p>
      <w:pPr>
        <w:pStyle w:val="ListBullet"/>
        <w:spacing w:after="50"/>
      </w:pPr>
      <w:r>
        <w:rPr>
          <w:rFonts w:ascii="Aptos" w:hAnsi="Aptos"/>
        </w:rPr>
        <w:t>Failure to act on identified malpractice/maladministration concerns.</w:t>
      </w:r>
    </w:p>
    <w:p>
      <w:pPr>
        <w:pStyle w:val="ListBullet"/>
      </w:pPr>
      <w:r>
        <w:rPr>
          <w:rFonts w:ascii="Aptos" w:hAnsi="Aptos"/>
        </w:rPr>
        <w:t>Failure to define or enforce the boundary between permitted collaboration and individual assessment, or failure to take reasonable steps to prevent copying, collusion, unauthorised communication or cheating in controlled conditions.</w:t>
      </w:r>
    </w:p>
    <w:p>
      <w:pPr>
        <w:pStyle w:val="ListBullet"/>
        <w:spacing w:after="50"/>
      </w:pPr>
      <w:r>
        <w:rPr>
          <w:rFonts w:ascii="Aptos" w:hAnsi="Aptos"/>
        </w:rPr>
        <w:t>Failure to provide clear AI assessment rules, authentication expectations or learner/staff guidance, or failure to apply them consistently and fairly.</w:t>
      </w:r>
    </w:p>
    <w:p>
      <w:pPr>
        <w:pStyle w:val="ListBullet"/>
        <w:spacing w:after="50"/>
      </w:pPr>
      <w:r>
        <w:rPr>
          <w:rFonts w:ascii="Aptos" w:hAnsi="Aptos"/>
        </w:rPr>
        <w:t>Failure to disable or appropriately restrict internet/AI access where controlled assessment rules prohibit such access.</w:t>
      </w:r>
    </w:p>
    <w:p>
      <w:pPr>
        <w:pStyle w:val="ListBullet"/>
        <w:spacing w:after="50"/>
      </w:pPr>
      <w:r>
        <w:rPr>
          <w:rFonts w:ascii="Aptos" w:hAnsi="Aptos"/>
        </w:rPr>
        <w:t>Reliance on automated AI detection, automated marking or other technology without appropriate professional judgement, verification and evidential review.</w:t>
      </w:r>
    </w:p>
    <w:p>
      <w:pPr>
        <w:pStyle w:val="ListBullet"/>
        <w:spacing w:after="50"/>
      </w:pPr>
      <w:r>
        <w:rPr>
          <w:rFonts w:ascii="Aptos" w:hAnsi="Aptos"/>
        </w:rPr>
        <w:t>Failure to manage data protection, cyber-security, confidentiality, copyright/IP or learner-safety risks when adopting an AI system for institutional use.</w:t>
      </w:r>
    </w:p>
    <w:p>
      <w:pPr>
        <w:pStyle w:val="Heading1"/>
      </w:pPr>
      <w:r>
        <w:rPr>
          <w:rFonts w:ascii="Aptos" w:hAnsi="Aptos"/>
          <w:b/>
          <w:color w:val="764689"/>
        </w:rPr>
        <w:t>5. Artificial Intelligence (AI) in Learning and Assessment</w:t>
      </w:r>
    </w:p>
    <w:p>
      <w:pPr>
        <w:spacing w:after="100" w:line="259" w:lineRule="auto"/>
      </w:pPr>
      <w:r>
        <w:rPr>
          <w:rFonts w:ascii="Aptos" w:hAnsi="Aptos"/>
          <w:i w:val="0"/>
        </w:rPr>
        <w:t>The misuse of AI tools in relation to assessment constitutes malpractice. Qualia Academy does not treat every use of AI as automatically improper: the key questions are whether use is permitted for the particular assessment, whether it is transparently acknowledged where required, and whether the final evidence validly demonstrates the learner’s own required knowledge, skills, behaviours, analysis, evaluation, calculations, judgement and/or practical competence.</w:t>
      </w:r>
    </w:p>
    <w:p>
      <w:pPr>
        <w:pStyle w:val="Heading2"/>
      </w:pPr>
      <w:r>
        <w:rPr>
          <w:rFonts w:ascii="Aptos" w:hAnsi="Aptos"/>
          <w:b/>
          <w:color w:val="2D3F98"/>
        </w:rPr>
        <w:t>5.1 Core Principle of Authenticity</w:t>
      </w:r>
    </w:p>
    <w:p>
      <w:pPr>
        <w:spacing w:after="100" w:line="259" w:lineRule="auto"/>
      </w:pPr>
      <w:r>
        <w:rPr>
          <w:rFonts w:ascii="Aptos" w:hAnsi="Aptos"/>
          <w:i w:val="0"/>
        </w:rPr>
        <w:t>Assessment evidence must be attributable to the learner. AI must not replace the learner’s own thinking, performance or competence where those are the subject of assessment. The learner remains responsible for the accuracy, originality, integrity and traceability of everything submitted in their name.</w:t>
      </w:r>
    </w:p>
    <w:p>
      <w:pPr>
        <w:pStyle w:val="Heading2"/>
      </w:pPr>
      <w:r>
        <w:rPr>
          <w:rFonts w:ascii="Aptos" w:hAnsi="Aptos"/>
          <w:b/>
          <w:color w:val="2D3F98"/>
        </w:rPr>
        <w:t>5.2 AI Assessment Status</w:t>
      </w:r>
    </w:p>
    <w:p>
      <w:pPr>
        <w:spacing w:after="100" w:line="259" w:lineRule="auto"/>
      </w:pPr>
      <w:r>
        <w:rPr>
          <w:rFonts w:ascii="Aptos" w:hAnsi="Aptos"/>
        </w:rPr>
        <w:t>Where practicable, each assessment will be given one of the following statuses. The assessment brief and AO / apprenticeship Assessment Organisation / legacy EPAO rules take precedence over general assumptions about AI use.</w:t>
      </w:r>
    </w:p>
    <w:tbl>
      <w:tblPr>
        <w:tblW w:type="auto" w:w="0"/>
        <w:jc w:val="center"/>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5100"/>
        <w:gridCol w:w="5100"/>
      </w:tblGrid>
      <w:tr>
        <w:trPr>
          <w:tblHeader w:val="true"/>
        </w:trPr>
        <w:tc>
          <w:tcPr>
            <w:tcW w:type="dxa" w:w="5100"/>
            <w:shd w:fill="EEE7F1"/>
            <w:tcMar>
              <w:top w:w="90" w:type="dxa"/>
              <w:start w:w="90" w:type="dxa"/>
              <w:bottom w:w="90" w:type="dxa"/>
              <w:end w:w="90" w:type="dxa"/>
            </w:tcMar>
          </w:tcPr>
          <w:p>
            <w:r>
              <w:rPr>
                <w:rFonts w:ascii="Aptos" w:hAnsi="Aptos"/>
                <w:b/>
                <w:sz w:val="17"/>
              </w:rPr>
              <w:t>Status</w:t>
            </w:r>
          </w:p>
        </w:tc>
        <w:tc>
          <w:tcPr>
            <w:tcW w:type="dxa" w:w="5100"/>
            <w:shd w:fill="EEE7F1"/>
            <w:tcMar>
              <w:top w:w="90" w:type="dxa"/>
              <w:start w:w="90" w:type="dxa"/>
              <w:bottom w:w="90" w:type="dxa"/>
              <w:end w:w="90" w:type="dxa"/>
            </w:tcMar>
          </w:tcPr>
          <w:p>
            <w:r>
              <w:rPr>
                <w:rFonts w:ascii="Aptos" w:hAnsi="Aptos"/>
                <w:b/>
                <w:sz w:val="17"/>
              </w:rPr>
              <w:t>Meaning</w:t>
            </w:r>
          </w:p>
        </w:tc>
      </w:tr>
      <w:tr>
        <w:trPr>
          <w:cantSplit/>
        </w:trPr>
        <w:tc>
          <w:tcPr>
            <w:tcW w:type="dxa" w:w="5100"/>
            <w:tcMar>
              <w:top w:w="90" w:type="dxa"/>
              <w:start w:w="90" w:type="dxa"/>
              <w:bottom w:w="90" w:type="dxa"/>
              <w:end w:w="90" w:type="dxa"/>
            </w:tcMar>
          </w:tcPr>
          <w:p>
            <w:r>
              <w:rPr>
                <w:rFonts w:ascii="Aptos" w:hAnsi="Aptos"/>
                <w:b/>
                <w:sz w:val="17"/>
              </w:rPr>
              <w:t>AI-PROHIBITED</w:t>
            </w:r>
          </w:p>
        </w:tc>
        <w:tc>
          <w:tcPr>
            <w:tcW w:type="dxa" w:w="5100"/>
            <w:tcMar>
              <w:top w:w="90" w:type="dxa"/>
              <w:start w:w="90" w:type="dxa"/>
              <w:bottom w:w="90" w:type="dxa"/>
              <w:end w:w="90" w:type="dxa"/>
            </w:tcMar>
          </w:tcPr>
          <w:p>
            <w:r>
              <w:rPr>
                <w:rFonts w:ascii="Aptos" w:hAnsi="Aptos"/>
                <w:b w:val="0"/>
                <w:sz w:val="17"/>
              </w:rPr>
              <w:t>AI must not be used in producing or responding to the assessment, except for an explicitly approved access arrangement/adjustment.</w:t>
            </w:r>
          </w:p>
        </w:tc>
      </w:tr>
      <w:tr>
        <w:trPr>
          <w:cantSplit/>
        </w:trPr>
        <w:tc>
          <w:tcPr>
            <w:tcW w:type="dxa" w:w="5100"/>
            <w:tcMar>
              <w:top w:w="90" w:type="dxa"/>
              <w:start w:w="90" w:type="dxa"/>
              <w:bottom w:w="90" w:type="dxa"/>
              <w:end w:w="90" w:type="dxa"/>
            </w:tcMar>
          </w:tcPr>
          <w:p>
            <w:r>
              <w:rPr>
                <w:rFonts w:ascii="Aptos" w:hAnsi="Aptos"/>
                <w:b/>
                <w:sz w:val="17"/>
              </w:rPr>
              <w:t>AI-LIMITED</w:t>
            </w:r>
          </w:p>
        </w:tc>
        <w:tc>
          <w:tcPr>
            <w:tcW w:type="dxa" w:w="5100"/>
            <w:tcMar>
              <w:top w:w="90" w:type="dxa"/>
              <w:start w:w="90" w:type="dxa"/>
              <w:bottom w:w="90" w:type="dxa"/>
              <w:end w:w="90" w:type="dxa"/>
            </w:tcMar>
          </w:tcPr>
          <w:p>
            <w:r>
              <w:rPr>
                <w:rFonts w:ascii="Aptos" w:hAnsi="Aptos"/>
                <w:b w:val="0"/>
                <w:sz w:val="17"/>
              </w:rPr>
              <w:t>Specific AI uses are allowed for defined purposes only. The brief states what is permitted, what is prohibited and what evidence/declaration is required.</w:t>
            </w:r>
          </w:p>
        </w:tc>
      </w:tr>
      <w:tr>
        <w:trPr>
          <w:cantSplit/>
        </w:trPr>
        <w:tc>
          <w:tcPr>
            <w:tcW w:type="dxa" w:w="5100"/>
            <w:tcMar>
              <w:top w:w="90" w:type="dxa"/>
              <w:start w:w="90" w:type="dxa"/>
              <w:bottom w:w="90" w:type="dxa"/>
              <w:end w:w="90" w:type="dxa"/>
            </w:tcMar>
          </w:tcPr>
          <w:p>
            <w:r>
              <w:rPr>
                <w:rFonts w:ascii="Aptos" w:hAnsi="Aptos"/>
                <w:b/>
                <w:sz w:val="17"/>
              </w:rPr>
              <w:t>AI-PERMITTED WITH DECLARATION</w:t>
            </w:r>
          </w:p>
        </w:tc>
        <w:tc>
          <w:tcPr>
            <w:tcW w:type="dxa" w:w="5100"/>
            <w:tcMar>
              <w:top w:w="90" w:type="dxa"/>
              <w:start w:w="90" w:type="dxa"/>
              <w:bottom w:w="90" w:type="dxa"/>
              <w:end w:w="90" w:type="dxa"/>
            </w:tcMar>
          </w:tcPr>
          <w:p>
            <w:r>
              <w:rPr>
                <w:rFonts w:ascii="Aptos" w:hAnsi="Aptos"/>
                <w:b w:val="0"/>
                <w:sz w:val="17"/>
              </w:rPr>
              <w:t>AI may be used as a supporting tool, but material use must be disclosed and the final evidence must remain demonstrably the learner’s own.</w:t>
            </w:r>
          </w:p>
        </w:tc>
      </w:tr>
      <w:tr>
        <w:trPr>
          <w:cantSplit/>
        </w:trPr>
        <w:tc>
          <w:tcPr>
            <w:tcW w:type="dxa" w:w="5100"/>
            <w:tcMar>
              <w:top w:w="90" w:type="dxa"/>
              <w:start w:w="90" w:type="dxa"/>
              <w:bottom w:w="90" w:type="dxa"/>
              <w:end w:w="90" w:type="dxa"/>
            </w:tcMar>
          </w:tcPr>
          <w:p>
            <w:r>
              <w:rPr>
                <w:rFonts w:ascii="Aptos" w:hAnsi="Aptos"/>
                <w:b/>
                <w:sz w:val="17"/>
              </w:rPr>
              <w:t>AI-INTEGRATED ASSESSMENT</w:t>
            </w:r>
          </w:p>
        </w:tc>
        <w:tc>
          <w:tcPr>
            <w:tcW w:type="dxa" w:w="5100"/>
            <w:tcMar>
              <w:top w:w="90" w:type="dxa"/>
              <w:start w:w="90" w:type="dxa"/>
              <w:bottom w:w="90" w:type="dxa"/>
              <w:end w:w="90" w:type="dxa"/>
            </w:tcMar>
          </w:tcPr>
          <w:p>
            <w:r>
              <w:rPr>
                <w:rFonts w:ascii="Aptos" w:hAnsi="Aptos"/>
                <w:b w:val="0"/>
                <w:sz w:val="17"/>
              </w:rPr>
              <w:t>Use of AI is part of what is being assessed. The brief states the task, permitted tools, evidence, critique, declaration and retained records required.</w:t>
            </w:r>
          </w:p>
        </w:tc>
      </w:tr>
    </w:tbl>
    <w:p>
      <w:pPr>
        <w:pStyle w:val="Heading2"/>
      </w:pPr>
      <w:r>
        <w:rPr>
          <w:rFonts w:ascii="Aptos" w:hAnsi="Aptos"/>
          <w:b/>
          <w:color w:val="2D3F98"/>
        </w:rPr>
        <w:t>5.3 Examples of AI Misuse</w:t>
      </w:r>
    </w:p>
    <w:p>
      <w:pPr>
        <w:pStyle w:val="ListBullet"/>
        <w:spacing w:after="50"/>
      </w:pPr>
      <w:r>
        <w:rPr>
          <w:rFonts w:ascii="Aptos" w:hAnsi="Aptos"/>
        </w:rPr>
        <w:t>Copying or paraphrasing sections of AI-generated content so the submitted work is no longer substantially the learner’s own.</w:t>
      </w:r>
    </w:p>
    <w:p>
      <w:pPr>
        <w:pStyle w:val="ListBullet"/>
        <w:spacing w:after="50"/>
      </w:pPr>
      <w:r>
        <w:rPr>
          <w:rFonts w:ascii="Aptos" w:hAnsi="Aptos"/>
        </w:rPr>
        <w:t>Copying or paraphrasing whole AI-generated responses and submitting them as the learner’s own work.</w:t>
      </w:r>
    </w:p>
    <w:p>
      <w:pPr>
        <w:pStyle w:val="ListBullet"/>
        <w:spacing w:after="50"/>
      </w:pPr>
      <w:r>
        <w:rPr>
          <w:rFonts w:ascii="Aptos" w:hAnsi="Aptos"/>
        </w:rPr>
        <w:t>Using AI to complete assessed analysis, evaluation, calculations, coding, decision-making or other work so the evidence does not reflect the learner’s own competence.</w:t>
      </w:r>
    </w:p>
    <w:p>
      <w:pPr>
        <w:pStyle w:val="ListBullet"/>
        <w:spacing w:after="50"/>
      </w:pPr>
      <w:r>
        <w:rPr>
          <w:rFonts w:ascii="Aptos" w:hAnsi="Aptos"/>
        </w:rPr>
        <w:t>Failing to acknowledge AI use where it has been used as a source of information, ideas, wording, structure, data, code, images or other material and disclosure is required.</w:t>
      </w:r>
    </w:p>
    <w:p>
      <w:pPr>
        <w:pStyle w:val="ListBullet"/>
        <w:spacing w:after="50"/>
      </w:pPr>
      <w:r>
        <w:rPr>
          <w:rFonts w:ascii="Aptos" w:hAnsi="Aptos"/>
        </w:rPr>
        <w:t>Providing incomplete, vague or misleading acknowledgement of AI use.</w:t>
      </w:r>
    </w:p>
    <w:p>
      <w:pPr>
        <w:pStyle w:val="ListBullet"/>
        <w:spacing w:after="50"/>
      </w:pPr>
      <w:r>
        <w:rPr>
          <w:rFonts w:ascii="Aptos" w:hAnsi="Aptos"/>
        </w:rPr>
        <w:t>Submitting intentionally incomplete, misleading, fabricated or non-existent references or bibliographies produced by AI.</w:t>
      </w:r>
    </w:p>
    <w:p>
      <w:pPr>
        <w:pStyle w:val="ListBullet"/>
        <w:spacing w:after="50"/>
      </w:pPr>
      <w:r>
        <w:rPr>
          <w:rFonts w:ascii="Aptos" w:hAnsi="Aptos"/>
        </w:rPr>
        <w:t>Using AI in an examination, controlled assessment, live observation, practical assessment or other assessment where AI is prohibited.</w:t>
      </w:r>
    </w:p>
    <w:p>
      <w:pPr>
        <w:pStyle w:val="ListBullet"/>
        <w:spacing w:after="50"/>
      </w:pPr>
      <w:r>
        <w:rPr>
          <w:rFonts w:ascii="Aptos" w:hAnsi="Aptos"/>
        </w:rPr>
        <w:t>Using AI to generate a script for an oral assessment or professional discussion and presenting it in a way that prevents valid testing of the learner’s own understanding.</w:t>
      </w:r>
    </w:p>
    <w:p>
      <w:pPr>
        <w:pStyle w:val="ListBullet"/>
        <w:spacing w:after="50"/>
      </w:pPr>
      <w:r>
        <w:rPr>
          <w:rFonts w:ascii="Aptos" w:hAnsi="Aptos"/>
        </w:rPr>
        <w:t>Using AI to fabricate evidence of workplace activity, practical performance, witness testimony, reflective activity, logs, records, images, screenshots, audio or video.</w:t>
      </w:r>
    </w:p>
    <w:p>
      <w:pPr>
        <w:pStyle w:val="ListBullet"/>
        <w:spacing w:after="50"/>
      </w:pPr>
      <w:r>
        <w:rPr>
          <w:rFonts w:ascii="Aptos" w:hAnsi="Aptos"/>
        </w:rPr>
        <w:t>Using image, audio or video generation/manipulation, avatars, voice cloning or deepfakes to misrepresent practical competence or impersonate another person.</w:t>
      </w:r>
    </w:p>
    <w:p>
      <w:pPr>
        <w:pStyle w:val="ListBullet"/>
        <w:spacing w:after="50"/>
      </w:pPr>
      <w:r>
        <w:rPr>
          <w:rFonts w:ascii="Aptos" w:hAnsi="Aptos"/>
        </w:rPr>
        <w:t>Using AI or automated tools to conceal plagiarism, collusion or contract cheating, including repeated paraphrasing intended to evade similarity checks.</w:t>
      </w:r>
    </w:p>
    <w:p>
      <w:pPr>
        <w:pStyle w:val="ListBullet"/>
        <w:spacing w:after="50"/>
      </w:pPr>
      <w:r>
        <w:rPr>
          <w:rFonts w:ascii="Aptos" w:hAnsi="Aptos"/>
        </w:rPr>
        <w:t>Using AI to generate answers for another learner or sharing AI-generated answers in circumstances that create collusion or unfair advantage.</w:t>
      </w:r>
    </w:p>
    <w:p>
      <w:pPr>
        <w:pStyle w:val="Heading2"/>
      </w:pPr>
      <w:r>
        <w:rPr>
          <w:rFonts w:ascii="Aptos" w:hAnsi="Aptos"/>
          <w:b/>
          <w:color w:val="2D3F98"/>
        </w:rPr>
        <w:t>5.4 Permitted AI Use</w:t>
      </w:r>
    </w:p>
    <w:p>
      <w:pPr>
        <w:spacing w:after="100" w:line="259" w:lineRule="auto"/>
      </w:pPr>
      <w:r>
        <w:rPr>
          <w:rFonts w:ascii="Aptos" w:hAnsi="Aptos"/>
        </w:rPr>
        <w:t>Permitted use depends on the assessment brief and applicable AO / apprenticeship Assessment Organisation / legacy EPAO rules. Examples of lower-risk use that may be allowed for learning or preparation include:</w:t>
      </w:r>
    </w:p>
    <w:p>
      <w:pPr>
        <w:pStyle w:val="ListBullet"/>
        <w:spacing w:after="50"/>
      </w:pPr>
      <w:r>
        <w:rPr>
          <w:rFonts w:ascii="Aptos" w:hAnsi="Aptos"/>
        </w:rPr>
        <w:t>Brainstorming non-assessed ideas, practice topics or search terms.</w:t>
      </w:r>
    </w:p>
    <w:p>
      <w:pPr>
        <w:pStyle w:val="ListBullet"/>
        <w:spacing w:after="50"/>
      </w:pPr>
      <w:r>
        <w:rPr>
          <w:rFonts w:ascii="Aptos" w:hAnsi="Aptos"/>
        </w:rPr>
        <w:t>Generating practice questions or revision prompts for self-study.</w:t>
      </w:r>
    </w:p>
    <w:p>
      <w:pPr>
        <w:pStyle w:val="ListBullet"/>
        <w:spacing w:after="50"/>
      </w:pPr>
      <w:r>
        <w:rPr>
          <w:rFonts w:ascii="Aptos" w:hAnsi="Aptos"/>
        </w:rPr>
        <w:t>Explaining a concept in alternative language to support understanding, provided the learner verifies the explanation and then produces their own assessed response.</w:t>
      </w:r>
    </w:p>
    <w:p>
      <w:pPr>
        <w:pStyle w:val="ListBullet"/>
        <w:spacing w:after="50"/>
      </w:pPr>
      <w:r>
        <w:rPr>
          <w:rFonts w:ascii="Aptos" w:hAnsi="Aptos"/>
        </w:rPr>
        <w:t>Spelling, punctuation and grammar support where this does not materially rewrite or generate the assessed content and is not prohibited by the assessment rules.</w:t>
      </w:r>
    </w:p>
    <w:p>
      <w:pPr>
        <w:pStyle w:val="ListBullet"/>
        <w:spacing w:after="50"/>
      </w:pPr>
      <w:r>
        <w:rPr>
          <w:rFonts w:ascii="Aptos" w:hAnsi="Aptos"/>
        </w:rPr>
        <w:t>Planning or organising study activity.</w:t>
      </w:r>
    </w:p>
    <w:p>
      <w:pPr>
        <w:pStyle w:val="ListBullet"/>
        <w:spacing w:after="50"/>
      </w:pPr>
      <w:r>
        <w:rPr>
          <w:rFonts w:ascii="Aptos" w:hAnsi="Aptos"/>
        </w:rPr>
        <w:t>Accessibility or assistive use agreed as a reasonable adjustment and which does not alter the competence being assessed.</w:t>
      </w:r>
    </w:p>
    <w:p>
      <w:pPr>
        <w:pStyle w:val="ListBullet"/>
        <w:spacing w:after="50"/>
      </w:pPr>
      <w:r>
        <w:rPr>
          <w:rFonts w:ascii="Aptos" w:hAnsi="Aptos"/>
        </w:rPr>
        <w:t>Using AI as a source to critique, compare or evaluate where the assessment itself requires critical engagement with AI and the use is transparently declared.</w:t>
      </w:r>
    </w:p>
    <w:tbl>
      <w:tblPr>
        <w:tblW w:type="auto" w:w="0"/>
        <w:jc w:val="center"/>
        <w:tblLook w:firstColumn="1" w:firstRow="1" w:lastColumn="0" w:lastRow="0" w:noHBand="0" w:noVBand="1" w:val="04A0"/>
        <w:tblBorders>
          <w:top w:val="single" w:sz="6" w:space="0" w:color="C8B8D0"/>
          <w:left w:val="single" w:sz="6" w:space="0" w:color="C8B8D0"/>
          <w:bottom w:val="single" w:sz="6" w:space="0" w:color="C8B8D0"/>
          <w:right w:val="single" w:sz="6" w:space="0" w:color="C8B8D0"/>
          <w:insideH w:val="single" w:sz="6" w:space="0" w:color="C8B8D0"/>
          <w:insideV w:val="single" w:sz="6" w:space="0" w:color="C8B8D0"/>
        </w:tblBorders>
      </w:tblPr>
      <w:tblGrid>
        <w:gridCol w:w="10200"/>
      </w:tblGrid>
      <w:tr>
        <w:tc>
          <w:tcPr>
            <w:tcW w:type="dxa" w:w="10200"/>
            <w:shd w:fill="F7F2F9"/>
            <w:tcMar>
              <w:top w:w="130" w:type="dxa"/>
              <w:start w:w="150" w:type="dxa"/>
              <w:bottom w:w="130" w:type="dxa"/>
              <w:end w:w="150" w:type="dxa"/>
            </w:tcMar>
          </w:tcPr>
          <w:p>
            <w:r>
              <w:t>Assessment brief controls: A use that is acceptable for learning or revision may still be prohibited in a specific assessment. Learners must follow the assessment brief and applicable AO / apprenticeship Assessment Organisation / legacy EPAO rules.</w:t>
            </w:r>
          </w:p>
        </w:tc>
      </w:tr>
    </w:tbl>
    <w:p>
      <w:pPr>
        <w:spacing w:after="0"/>
      </w:pPr>
    </w:p>
    <w:p>
      <w:pPr>
        <w:pStyle w:val="Heading2"/>
      </w:pPr>
      <w:r>
        <w:rPr>
          <w:rFonts w:ascii="Aptos" w:hAnsi="Aptos"/>
          <w:b/>
          <w:color w:val="2D3F98"/>
        </w:rPr>
        <w:t>5.5 AI Use Declaration, Referencing and Retained Evidence</w:t>
      </w:r>
    </w:p>
    <w:p>
      <w:pPr>
        <w:spacing w:after="100" w:line="259" w:lineRule="auto"/>
      </w:pPr>
      <w:r>
        <w:rPr>
          <w:rFonts w:ascii="Aptos" w:hAnsi="Aptos"/>
        </w:rPr>
        <w:t>Where AI use is permitted and materially influences assessed work, learners must declare it sufficiently clearly for the assessor to understand what the tool contributed and what remained the learner’s own work. Where the relevant AO / apprenticeship Assessment Organisation / legacy EPAO or assessment brief requires a specific format, that format must be used.</w:t>
      </w:r>
    </w:p>
    <w:p>
      <w:pPr>
        <w:pStyle w:val="ListBullet"/>
        <w:spacing w:after="50"/>
      </w:pPr>
      <w:r>
        <w:rPr>
          <w:rFonts w:ascii="Aptos" w:hAnsi="Aptos"/>
        </w:rPr>
        <w:t>Name of the AI tool/service used and, where relevant, the version/model.</w:t>
      </w:r>
    </w:p>
    <w:p>
      <w:pPr>
        <w:pStyle w:val="ListBullet"/>
        <w:spacing w:after="50"/>
      </w:pPr>
      <w:r>
        <w:rPr>
          <w:rFonts w:ascii="Aptos" w:hAnsi="Aptos"/>
        </w:rPr>
        <w:t>Date or approximate period of use.</w:t>
      </w:r>
    </w:p>
    <w:p>
      <w:pPr>
        <w:pStyle w:val="ListBullet"/>
        <w:spacing w:after="50"/>
      </w:pPr>
      <w:r>
        <w:rPr>
          <w:rFonts w:ascii="Aptos" w:hAnsi="Aptos"/>
        </w:rPr>
        <w:t>Purpose for which it was used.</w:t>
      </w:r>
    </w:p>
    <w:p>
      <w:pPr>
        <w:pStyle w:val="ListBullet"/>
        <w:spacing w:after="50"/>
      </w:pPr>
      <w:r>
        <w:rPr>
          <w:rFonts w:ascii="Aptos" w:hAnsi="Aptos"/>
        </w:rPr>
        <w:t>A concise description of prompts/instructions where these materially shaped the output.</w:t>
      </w:r>
    </w:p>
    <w:p>
      <w:pPr>
        <w:pStyle w:val="ListBullet"/>
        <w:spacing w:after="50"/>
      </w:pPr>
      <w:r>
        <w:rPr>
          <w:rFonts w:ascii="Aptos" w:hAnsi="Aptos"/>
        </w:rPr>
        <w:t>How the output was checked, edited, challenged, referenced or used.</w:t>
      </w:r>
    </w:p>
    <w:p>
      <w:pPr>
        <w:pStyle w:val="ListBullet"/>
        <w:spacing w:after="50"/>
      </w:pPr>
      <w:r>
        <w:rPr>
          <w:rFonts w:ascii="Aptos" w:hAnsi="Aptos"/>
        </w:rPr>
        <w:t>Where required, a non-editable record such as screenshots/PDF of the prompt(s) and AI-generated content used for authentication.</w:t>
      </w:r>
    </w:p>
    <w:p>
      <w:pPr>
        <w:pStyle w:val="ListBullet"/>
        <w:spacing w:after="50"/>
      </w:pPr>
      <w:r>
        <w:rPr>
          <w:rFonts w:ascii="Aptos" w:hAnsi="Aptos"/>
        </w:rPr>
        <w:t>Where sources are provided by an AI tool, the learner must verify and reference the underlying sources rather than relying on invented or unverified AI citations.</w:t>
      </w:r>
    </w:p>
    <w:p>
      <w:pPr>
        <w:pStyle w:val="ListBullet"/>
        <w:spacing w:after="50"/>
      </w:pPr>
      <w:r>
        <w:rPr>
          <w:rFonts w:ascii="Aptos" w:hAnsi="Aptos"/>
        </w:rPr>
        <w:t>Confirmation that the learner remains responsible for the final submission.</w:t>
      </w:r>
    </w:p>
    <w:p>
      <w:pPr>
        <w:spacing w:after="100" w:line="259" w:lineRule="auto"/>
      </w:pPr>
      <w:r>
        <w:rPr>
          <w:rFonts w:ascii="Aptos" w:hAnsi="Aptos"/>
        </w:rPr>
        <w:t>Appendix 2 provides a standard Qualia Academy AI Use Declaration. This does not replace any mandatory AO / apprenticeship Assessment Organisation / legacy EPAO declaration.</w:t>
      </w:r>
    </w:p>
    <w:p>
      <w:pPr>
        <w:pStyle w:val="Heading2"/>
      </w:pPr>
      <w:r>
        <w:rPr>
          <w:rFonts w:ascii="Aptos" w:hAnsi="Aptos"/>
          <w:b/>
          <w:color w:val="2D3F98"/>
        </w:rPr>
        <w:t>5.6 Accuracy, Hallucination, Bias and Fabricated Sources</w:t>
      </w:r>
    </w:p>
    <w:p>
      <w:pPr>
        <w:pStyle w:val="ListBullet"/>
        <w:spacing w:after="50"/>
      </w:pPr>
      <w:r>
        <w:rPr>
          <w:rFonts w:ascii="Aptos" w:hAnsi="Aptos"/>
        </w:rPr>
        <w:t>AI outputs may be plausible but inaccurate, incomplete, biased, out of date or fabricated. Learners and staff must not treat fluent output as evidence of truth.</w:t>
      </w:r>
    </w:p>
    <w:p>
      <w:pPr>
        <w:pStyle w:val="ListBullet"/>
        <w:spacing w:after="50"/>
      </w:pPr>
      <w:r>
        <w:rPr>
          <w:rFonts w:ascii="Aptos" w:hAnsi="Aptos"/>
        </w:rPr>
        <w:t>AI-generated quotations, statistics, cases, legal references, academic sources, bibliographies and calculations must be independently verified before use.</w:t>
      </w:r>
    </w:p>
    <w:p>
      <w:pPr>
        <w:pStyle w:val="ListBullet"/>
        <w:spacing w:after="50"/>
      </w:pPr>
      <w:r>
        <w:rPr>
          <w:rFonts w:ascii="Aptos" w:hAnsi="Aptos"/>
        </w:rPr>
        <w:t>Where an assessment requires critical thinking, the learner must demonstrate their own evaluation rather than relying on the AI tool’s judgement.</w:t>
      </w:r>
    </w:p>
    <w:p>
      <w:pPr>
        <w:pStyle w:val="ListBullet"/>
        <w:spacing w:after="50"/>
      </w:pPr>
      <w:r>
        <w:rPr>
          <w:rFonts w:ascii="Aptos" w:hAnsi="Aptos"/>
        </w:rPr>
        <w:t>Bias or discriminatory assumptions in AI outputs must be challenged and must not be reproduced uncritically in assessment, feedback or quality assurance.</w:t>
      </w:r>
    </w:p>
    <w:p>
      <w:pPr>
        <w:pStyle w:val="Heading2"/>
      </w:pPr>
      <w:r>
        <w:rPr>
          <w:rFonts w:ascii="Aptos" w:hAnsi="Aptos"/>
          <w:b/>
          <w:color w:val="2D3F98"/>
        </w:rPr>
        <w:t>5.7 Data Protection, Confidentiality and Special-Category Data</w:t>
      </w:r>
    </w:p>
    <w:p>
      <w:pPr>
        <w:spacing w:after="100" w:line="259" w:lineRule="auto"/>
      </w:pPr>
      <w:r>
        <w:rPr>
          <w:rFonts w:ascii="Aptos" w:hAnsi="Aptos"/>
          <w:i w:val="0"/>
        </w:rPr>
        <w:t>AI use must comply with Qualia Academy data-protection and information-security requirements and applicable UK data-protection legislation. Public or unapproved AI tools must not be treated as confidential workspaces.</w:t>
      </w:r>
    </w:p>
    <w:p>
      <w:pPr/>
      <w:r>
        <w:rPr>
          <w:rFonts w:ascii="Aptos" w:hAnsi="Aptos"/>
        </w:rPr>
        <w:t>The Data (Use and Access) Act 2025 amended the UK data-protection framework and all provisions affecting data protection law were commenced by 19 June 2026. Qualia Academy will apply the amended law in force at the time of processing. Where automated processing is used in a decision that significantly affects a learner or staff member, Qualia Academy will ensure an appropriate lawful basis, transparency, safeguards and meaningful human review/challenge arrangements as required by law. Special-category data remains subject to enhanced protection.</w:t>
      </w:r>
    </w:p>
    <w:p>
      <w:pPr>
        <w:pStyle w:val="ListBullet"/>
        <w:spacing w:after="50"/>
      </w:pPr>
      <w:r>
        <w:rPr>
          <w:rFonts w:ascii="Aptos" w:hAnsi="Aptos"/>
        </w:rPr>
        <w:t>Personal data, special-category data, learner health/disability information, safeguarding information, assessment records, employer-confidential information and secure assessment content must not be entered into an AI system unless use has been specifically authorised and a lawful, secure processing arrangement is in place.</w:t>
      </w:r>
    </w:p>
    <w:p>
      <w:pPr>
        <w:pStyle w:val="ListBullet"/>
        <w:spacing w:after="50"/>
      </w:pPr>
      <w:r>
        <w:rPr>
          <w:rFonts w:ascii="Aptos" w:hAnsi="Aptos"/>
        </w:rPr>
        <w:t>Data minimisation applies: only the minimum necessary information should be used.</w:t>
      </w:r>
    </w:p>
    <w:p>
      <w:pPr>
        <w:pStyle w:val="ListBullet"/>
        <w:spacing w:after="50"/>
      </w:pPr>
      <w:r>
        <w:rPr>
          <w:rFonts w:ascii="Aptos" w:hAnsi="Aptos"/>
        </w:rPr>
        <w:t>Where institutional use of an AI system creates high-risk processing, Qualia Academy will consider whether a Data Protection Impact Assessment (DPIA) is required and will document the decision.</w:t>
      </w:r>
    </w:p>
    <w:p>
      <w:pPr>
        <w:pStyle w:val="ListBullet"/>
        <w:spacing w:after="50"/>
      </w:pPr>
      <w:r>
        <w:rPr>
          <w:rFonts w:ascii="Aptos" w:hAnsi="Aptos"/>
        </w:rPr>
        <w:t>Staff must consider where data is stored/processed, retention, model-training use, sharing with third parties, account permissions and deletion/erasure arrangements before approval.</w:t>
      </w:r>
    </w:p>
    <w:p>
      <w:pPr>
        <w:pStyle w:val="ListBullet"/>
        <w:spacing w:after="50"/>
      </w:pPr>
      <w:r>
        <w:rPr>
          <w:rFonts w:ascii="Aptos" w:hAnsi="Aptos"/>
        </w:rPr>
        <w:t>AI must not be used to make a significant learner decision solely through automated processing where human review is required by law, regulation, AO / apprenticeship Assessment Organisation / legacy EPAO rules or Qualia Academy policy.</w:t>
      </w:r>
    </w:p>
    <w:p>
      <w:pPr>
        <w:pStyle w:val="Heading2"/>
      </w:pPr>
      <w:r>
        <w:rPr>
          <w:rFonts w:ascii="Aptos" w:hAnsi="Aptos"/>
          <w:b/>
          <w:color w:val="2D3F98"/>
        </w:rPr>
        <w:t>5.8 Copyright and Intellectual Property</w:t>
      </w:r>
    </w:p>
    <w:p>
      <w:pPr>
        <w:pStyle w:val="ListBullet"/>
        <w:spacing w:after="50"/>
      </w:pPr>
      <w:r>
        <w:rPr>
          <w:rFonts w:ascii="Aptos" w:hAnsi="Aptos"/>
        </w:rPr>
        <w:t>Learner, staff, employer and third-party intellectual property must not be uploaded to an AI system for model training, product improvement or another commercial purpose unless appropriate permission and contractual safeguards exist.</w:t>
      </w:r>
    </w:p>
    <w:p>
      <w:pPr>
        <w:pStyle w:val="ListBullet"/>
        <w:spacing w:after="50"/>
      </w:pPr>
      <w:r>
        <w:rPr>
          <w:rFonts w:ascii="Aptos" w:hAnsi="Aptos"/>
        </w:rPr>
        <w:t>AI-generated content does not remove the need to respect copyright, licensing, attribution, database rights, trademarks and other intellectual-property restrictions.</w:t>
      </w:r>
    </w:p>
    <w:p>
      <w:pPr>
        <w:pStyle w:val="ListBullet"/>
        <w:spacing w:after="50"/>
      </w:pPr>
      <w:r>
        <w:rPr>
          <w:rFonts w:ascii="Aptos" w:hAnsi="Aptos"/>
        </w:rPr>
        <w:t>Learners remain responsible for ensuring submitted material does not infringe third-party rights and for acknowledging source material where required.</w:t>
      </w:r>
    </w:p>
    <w:p>
      <w:pPr>
        <w:pStyle w:val="ListBullet"/>
        <w:spacing w:after="50"/>
      </w:pPr>
      <w:r>
        <w:rPr>
          <w:rFonts w:ascii="Aptos" w:hAnsi="Aptos"/>
        </w:rPr>
        <w:t>Staff must not upload secure assessment materials, paid/licensed teaching resources or employer-owned confidential materials to unapproved AI services.</w:t>
      </w:r>
    </w:p>
    <w:p>
      <w:pPr>
        <w:pStyle w:val="Heading2"/>
      </w:pPr>
      <w:r>
        <w:rPr>
          <w:rFonts w:ascii="Aptos" w:hAnsi="Aptos"/>
          <w:b/>
          <w:color w:val="2D3F98"/>
        </w:rPr>
        <w:t>5.9 Cyber-Security and Approved AI Tools</w:t>
      </w:r>
    </w:p>
    <w:p>
      <w:pPr>
        <w:spacing w:after="100" w:line="259" w:lineRule="auto"/>
      </w:pPr>
      <w:r>
        <w:rPr>
          <w:rFonts w:ascii="Aptos" w:hAnsi="Aptos"/>
          <w:i w:val="0"/>
        </w:rPr>
        <w:t>Where Qualia Academy adopts an AI product for institutional use, approval will be proportionate to risk. Staff must not assume a consumer AI service is suitable merely because it is widely available.</w:t>
      </w:r>
    </w:p>
    <w:p>
      <w:pPr>
        <w:pStyle w:val="ListBullet"/>
        <w:spacing w:after="50"/>
      </w:pPr>
      <w:r>
        <w:rPr>
          <w:rFonts w:ascii="Aptos" w:hAnsi="Aptos"/>
        </w:rPr>
        <w:t>Check the stated purpose, intended users, age restrictions and whether use matches the educational/assessment purpose.</w:t>
      </w:r>
    </w:p>
    <w:p>
      <w:pPr>
        <w:pStyle w:val="ListBullet"/>
        <w:spacing w:after="50"/>
      </w:pPr>
      <w:r>
        <w:rPr>
          <w:rFonts w:ascii="Aptos" w:hAnsi="Aptos"/>
        </w:rPr>
        <w:t>Review supplier terms, privacy/data handling, retention, training/fine-tuning use, intellectual-property terms and data location where relevant.</w:t>
      </w:r>
    </w:p>
    <w:p>
      <w:pPr>
        <w:pStyle w:val="ListBullet"/>
        <w:spacing w:after="50"/>
      </w:pPr>
      <w:r>
        <w:rPr>
          <w:rFonts w:ascii="Aptos" w:hAnsi="Aptos"/>
        </w:rPr>
        <w:t>Use appropriate authentication and permissions; multi-factor authentication should be enabled where available for systems handling sensitive or operational information.</w:t>
      </w:r>
    </w:p>
    <w:p>
      <w:pPr>
        <w:pStyle w:val="ListBullet"/>
        <w:spacing w:after="50"/>
      </w:pPr>
      <w:r>
        <w:rPr>
          <w:rFonts w:ascii="Aptos" w:hAnsi="Aptos"/>
        </w:rPr>
        <w:t>Keep institutional software/accounts updated and apply security patches promptly.</w:t>
      </w:r>
    </w:p>
    <w:p>
      <w:pPr>
        <w:pStyle w:val="ListBullet"/>
        <w:spacing w:after="50"/>
      </w:pPr>
      <w:r>
        <w:rPr>
          <w:rFonts w:ascii="Aptos" w:hAnsi="Aptos"/>
        </w:rPr>
        <w:t>Use role-based access so users only have permissions required for their role.</w:t>
      </w:r>
    </w:p>
    <w:p>
      <w:pPr>
        <w:pStyle w:val="ListBullet"/>
        <w:spacing w:after="50"/>
      </w:pPr>
      <w:r>
        <w:rPr>
          <w:rFonts w:ascii="Aptos" w:hAnsi="Aptos"/>
        </w:rPr>
        <w:t>Consider risks of prompt injection, jailbreaking, malicious content, account compromise, data leakage and unsafe integrations.</w:t>
      </w:r>
    </w:p>
    <w:p>
      <w:pPr>
        <w:pStyle w:val="ListBullet"/>
        <w:spacing w:after="50"/>
      </w:pPr>
      <w:r>
        <w:rPr>
          <w:rFonts w:ascii="Aptos" w:hAnsi="Aptos"/>
        </w:rPr>
        <w:t>Consider whether the tool provides appropriate filtering, monitoring and administrator controls for the intended learner cohort.</w:t>
      </w:r>
    </w:p>
    <w:p>
      <w:pPr>
        <w:pStyle w:val="ListBullet"/>
        <w:spacing w:after="50"/>
      </w:pPr>
      <w:r>
        <w:rPr>
          <w:rFonts w:ascii="Aptos" w:hAnsi="Aptos"/>
        </w:rPr>
        <w:t>Record approval/rejection and any restrictions for higher-risk institutional use.</w:t>
      </w:r>
    </w:p>
    <w:p>
      <w:pPr>
        <w:pStyle w:val="Heading2"/>
      </w:pPr>
      <w:r>
        <w:rPr>
          <w:rFonts w:ascii="Aptos" w:hAnsi="Aptos"/>
          <w:b/>
          <w:color w:val="2D3F98"/>
        </w:rPr>
        <w:t>5.10 Learner Safety, Safeguarding and Manipulation Risks</w:t>
      </w:r>
    </w:p>
    <w:p>
      <w:pPr>
        <w:spacing w:after="100" w:line="259" w:lineRule="auto"/>
      </w:pPr>
      <w:r>
        <w:rPr>
          <w:rFonts w:ascii="Aptos" w:hAnsi="Aptos"/>
          <w:i w:val="0"/>
        </w:rPr>
        <w:t>Where learner-facing AI tools are used, safety and learner welfare must take priority over convenience. The following risks should be considered in proportion to the learner cohort and use case:</w:t>
      </w:r>
    </w:p>
    <w:p>
      <w:pPr>
        <w:pStyle w:val="ListBullet"/>
        <w:spacing w:after="50"/>
      </w:pPr>
      <w:r>
        <w:rPr>
          <w:rFonts w:ascii="Aptos" w:hAnsi="Aptos"/>
        </w:rPr>
        <w:t>AI systems presenting unjustified confidence, misleading users or encouraging overreliance.</w:t>
      </w:r>
    </w:p>
    <w:p>
      <w:pPr>
        <w:pStyle w:val="ListBullet"/>
        <w:spacing w:after="50"/>
      </w:pPr>
      <w:r>
        <w:rPr>
          <w:rFonts w:ascii="Aptos" w:hAnsi="Aptos"/>
        </w:rPr>
        <w:t>Manipulative or persuasive interactions, including pressure, flattery, guilt/fear, deceptive prompts, dark patterns or steering users towards paid options.</w:t>
      </w:r>
    </w:p>
    <w:p>
      <w:pPr>
        <w:pStyle w:val="ListBullet"/>
        <w:spacing w:after="50"/>
      </w:pPr>
      <w:r>
        <w:rPr>
          <w:rFonts w:ascii="Aptos" w:hAnsi="Aptos"/>
        </w:rPr>
        <w:t>Prolonged or emotionally dependent interaction that displaces appropriate human support.</w:t>
      </w:r>
    </w:p>
    <w:p>
      <w:pPr>
        <w:pStyle w:val="ListBullet"/>
        <w:spacing w:after="50"/>
      </w:pPr>
      <w:r>
        <w:rPr>
          <w:rFonts w:ascii="Aptos" w:hAnsi="Aptos"/>
        </w:rPr>
        <w:t>Exposure to harmful or inappropriate content, including through multimodal outputs.</w:t>
      </w:r>
    </w:p>
    <w:p>
      <w:pPr>
        <w:pStyle w:val="ListBullet"/>
        <w:spacing w:after="50"/>
      </w:pPr>
      <w:r>
        <w:rPr>
          <w:rFonts w:ascii="Aptos" w:hAnsi="Aptos"/>
        </w:rPr>
        <w:t>Impersonation of staff/learners, fraudulent messages, synthetic media and scams created using AI.</w:t>
      </w:r>
    </w:p>
    <w:p>
      <w:pPr>
        <w:pStyle w:val="ListBullet"/>
        <w:spacing w:after="50"/>
      </w:pPr>
      <w:r>
        <w:rPr>
          <w:rFonts w:ascii="Aptos" w:hAnsi="Aptos"/>
        </w:rPr>
        <w:t>Where children or vulnerable learners are involved, age restrictions, safeguarding, filtering/monitoring and supervision requirements must be followed.</w:t>
      </w:r>
    </w:p>
    <w:p>
      <w:pPr>
        <w:pStyle w:val="Heading2"/>
      </w:pPr>
      <w:r>
        <w:rPr>
          <w:rFonts w:ascii="Aptos" w:hAnsi="Aptos"/>
          <w:b/>
          <w:color w:val="2D3F98"/>
        </w:rPr>
        <w:t>5.11 AI and Reasonable Adjustments / Assistive Technology</w:t>
      </w:r>
    </w:p>
    <w:p>
      <w:pPr>
        <w:spacing w:after="100" w:line="259" w:lineRule="auto"/>
      </w:pPr>
      <w:r>
        <w:rPr>
          <w:rFonts w:ascii="Aptos" w:hAnsi="Aptos"/>
          <w:i w:val="0"/>
        </w:rPr>
        <w:t>Use of assistive technology agreed as a reasonable adjustment is not malpractice merely because the technology contains AI functionality. The boundary is whether the tool supports access or instead performs the competence being assessed. Support is permissible only within the approved adjustment and applicable assessment rules.</w:t>
      </w:r>
    </w:p>
    <w:p>
      <w:pPr>
        <w:spacing w:after="100" w:line="259" w:lineRule="auto"/>
      </w:pPr>
      <w:r>
        <w:rPr>
          <w:rFonts w:ascii="Aptos" w:hAnsi="Aptos"/>
        </w:rPr>
        <w:t>For example, speech-to-text may be appropriate where writing mechanics are not the competence being assessed, while AI that formulates substantive analysis may not be appropriate. Each case must be considered against the assessment criteria, learner’s normal way of working where relevant, agreed adjustment and AO / apprenticeship Assessment Organisation / legacy EPAO rules.</w:t>
      </w:r>
    </w:p>
    <w:p>
      <w:pPr>
        <w:pStyle w:val="Heading2"/>
      </w:pPr>
      <w:r>
        <w:rPr>
          <w:rFonts w:ascii="Aptos" w:hAnsi="Aptos"/>
          <w:b/>
          <w:color w:val="2D3F98"/>
        </w:rPr>
        <w:t>5.12 Staff Use of AI in Teaching, Feedback, Marking and IQA</w:t>
      </w:r>
    </w:p>
    <w:p>
      <w:pPr>
        <w:pStyle w:val="ListBullet"/>
        <w:spacing w:after="50"/>
      </w:pPr>
      <w:r>
        <w:rPr>
          <w:rFonts w:ascii="Aptos" w:hAnsi="Aptos"/>
        </w:rPr>
        <w:t>Staff remain professionally accountable for all assessment and IQA decisions. AI cannot be the sole marker where human assessment is required; a human assessor must review the work in its entirety and determine the final mark/grade/competence decision.</w:t>
      </w:r>
    </w:p>
    <w:p>
      <w:pPr>
        <w:pStyle w:val="ListBullet"/>
        <w:spacing w:after="50"/>
      </w:pPr>
      <w:r>
        <w:rPr>
          <w:rFonts w:ascii="Aptos" w:hAnsi="Aptos"/>
        </w:rPr>
        <w:t>AI may support administrative or developmental tasks only where use is secure, proportionate and does not compromise assessment validity, confidentiality or professional judgement.</w:t>
      </w:r>
    </w:p>
    <w:p>
      <w:pPr>
        <w:pStyle w:val="ListBullet"/>
        <w:spacing w:after="50"/>
      </w:pPr>
      <w:r>
        <w:rPr>
          <w:rFonts w:ascii="Aptos" w:hAnsi="Aptos"/>
        </w:rPr>
        <w:t>AI-generated marking comments, feedback or quality observations must be checked for accuracy, relevance, bias and alignment with the assessment criteria before use.</w:t>
      </w:r>
    </w:p>
    <w:p>
      <w:pPr>
        <w:pStyle w:val="ListBullet"/>
        <w:spacing w:after="50"/>
      </w:pPr>
      <w:r>
        <w:rPr>
          <w:rFonts w:ascii="Aptos" w:hAnsi="Aptos"/>
        </w:rPr>
        <w:t>Staff must not fabricate feedback, witness evidence, observation records, assessment decisions or IQA records using AI.</w:t>
      </w:r>
    </w:p>
    <w:p>
      <w:pPr>
        <w:pStyle w:val="ListBullet"/>
        <w:spacing w:after="50"/>
      </w:pPr>
      <w:r>
        <w:rPr>
          <w:rFonts w:ascii="Aptos" w:hAnsi="Aptos"/>
        </w:rPr>
        <w:t>Where AI materially contributes to an official record, assessment resource or learner-facing decision, the responsible staff member must be able to explain and justify the final output.</w:t>
      </w:r>
    </w:p>
    <w:p>
      <w:pPr>
        <w:pStyle w:val="ListBullet"/>
        <w:spacing w:after="50"/>
      </w:pPr>
      <w:r>
        <w:rPr>
          <w:rFonts w:ascii="Aptos" w:hAnsi="Aptos"/>
        </w:rPr>
        <w:t>Where acknowledged learner AI use means criteria have not been independently met, the learner must not receive credit for the AI-generated contribution and the assessor should keep a clear record of how this affected the decision.</w:t>
      </w:r>
    </w:p>
    <w:p>
      <w:pPr>
        <w:pStyle w:val="Heading2"/>
      </w:pPr>
      <w:r>
        <w:rPr>
          <w:rFonts w:ascii="Aptos" w:hAnsi="Aptos"/>
          <w:b/>
          <w:color w:val="2D3F98"/>
        </w:rPr>
        <w:t>5.13 AI-generated or Manipulated Images, Audio and Video</w:t>
      </w:r>
    </w:p>
    <w:p>
      <w:pPr>
        <w:spacing w:after="100" w:line="259" w:lineRule="auto"/>
      </w:pPr>
      <w:r>
        <w:rPr>
          <w:rFonts w:ascii="Aptos" w:hAnsi="Aptos"/>
          <w:i w:val="0"/>
        </w:rPr>
        <w:t>Where practical competence is evidenced through photographs, video, audio, screenshots or other media, the evidence must represent genuine learner performance. Synthetic, altered, staged, reused or third-party media presented as evidence of the learner’s own work may constitute malpractice. This includes Qualia Academy’s existing rule on theft of images or footage used to fraudulently complete practical commercial training assessment.</w:t>
      </w:r>
    </w:p>
    <w:p>
      <w:pPr>
        <w:pStyle w:val="Heading2"/>
      </w:pPr>
      <w:r>
        <w:rPr>
          <w:rFonts w:ascii="Aptos" w:hAnsi="Aptos"/>
        </w:rPr>
        <w:t>5.14 AI Governance Principles</w:t>
      </w:r>
    </w:p>
    <w:p>
      <w:pPr/>
      <w:r>
        <w:rPr>
          <w:rFonts w:ascii="Aptos" w:hAnsi="Aptos"/>
        </w:rPr>
        <w:t>Qualia Academy will manage AI in assessment in a way that supports the regulatory objectives reflected in Ofqual's July 2026 approach to AI in the qualifications sector. Decisions about AI use will therefore consider the following principles together rather than treating innovation as more important than assessment integrity:</w:t>
      </w:r>
    </w:p>
    <w:p>
      <w:pPr>
        <w:pStyle w:val="ListBullet"/>
      </w:pPr>
      <w:r>
        <w:rPr>
          <w:rFonts w:ascii="Aptos" w:hAnsi="Aptos"/>
        </w:rPr>
        <w:t>Fairness for learners, including accessibility, reasonable adjustments and avoidance of discriminatory assumptions.</w:t>
      </w:r>
    </w:p>
    <w:p>
      <w:pPr>
        <w:pStyle w:val="ListBullet"/>
      </w:pPr>
      <w:r>
        <w:rPr>
          <w:rFonts w:ascii="Aptos" w:hAnsi="Aptos"/>
        </w:rPr>
        <w:t>Validity: assessment must continue to measure the knowledge, skills, behaviours, judgement or competence it is intended to measure.</w:t>
      </w:r>
    </w:p>
    <w:p>
      <w:pPr>
        <w:pStyle w:val="ListBullet"/>
      </w:pPr>
      <w:r>
        <w:rPr>
          <w:rFonts w:ascii="Aptos" w:hAnsi="Aptos"/>
        </w:rPr>
        <w:t>Assessment security, including protection of confidential materials, controlled conditions, authentication and digital evidence.</w:t>
      </w:r>
    </w:p>
    <w:p>
      <w:pPr>
        <w:pStyle w:val="ListBullet"/>
      </w:pPr>
      <w:r>
        <w:rPr>
          <w:rFonts w:ascii="Aptos" w:hAnsi="Aptos"/>
        </w:rPr>
        <w:t>Public confidence in the reliability and credibility of qualifications, apprenticeships and assessment decisions.</w:t>
      </w:r>
    </w:p>
    <w:p>
      <w:pPr>
        <w:pStyle w:val="ListBullet"/>
      </w:pPr>
      <w:r>
        <w:rPr>
          <w:rFonts w:ascii="Aptos" w:hAnsi="Aptos"/>
        </w:rPr>
        <w:t>Responsible innovation, allowing proportionate use of useful technology where risks can be understood, controlled and reviewed.</w:t>
      </w:r>
    </w:p>
    <w:p>
      <w:pPr>
        <w:pStyle w:val="ListBullet"/>
      </w:pPr>
      <w:r>
        <w:rPr>
          <w:rFonts w:ascii="Aptos" w:hAnsi="Aptos"/>
        </w:rPr>
        <w:t>Appropriate expert human involvement, oversight, quality assurance and accountability for assessment-related decisions.</w:t>
      </w:r>
    </w:p>
    <w:p>
      <w:pPr>
        <w:pStyle w:val="Heading2"/>
      </w:pPr>
      <w:r>
        <w:rPr>
          <w:rFonts w:ascii="Aptos" w:hAnsi="Aptos"/>
        </w:rPr>
        <w:t>5.15 Ongoing AI Malpractice Risk Review</w:t>
      </w:r>
    </w:p>
    <w:p>
      <w:pPr/>
      <w:r>
        <w:rPr>
          <w:rFonts w:ascii="Aptos" w:hAnsi="Aptos"/>
        </w:rPr>
        <w:t>In line with Ofqual's April 2026 advice on AI-related malpractice, Qualia Academy will keep the risks created by AI tools under active review. This includes identifying where AI may create or increase opportunities for malpractice, taking all reasonable and proportionate steps to prevent or reduce those risks, investigating suspected misuse fairly, and revising assessment design, supervision, authentication, learner guidance, staff training or technical controls as AI capabilities and external requirements change.</w:t>
      </w:r>
    </w:p>
    <w:p>
      <w:pPr>
        <w:pStyle w:val="Heading1"/>
      </w:pPr>
      <w:r>
        <w:rPr>
          <w:rFonts w:ascii="Aptos" w:hAnsi="Aptos"/>
          <w:b/>
          <w:color w:val="764689"/>
        </w:rPr>
        <w:t>6. Digital Assessment Security and Controlled Conditions</w:t>
      </w:r>
    </w:p>
    <w:p>
      <w:pPr>
        <w:spacing w:after="100" w:line="259" w:lineRule="auto"/>
      </w:pPr>
      <w:r>
        <w:rPr>
          <w:rFonts w:ascii="Aptos" w:hAnsi="Aptos"/>
          <w:i w:val="0"/>
        </w:rPr>
        <w:t>Digital delivery can increase opportunity for unauthorised access to AI, internet resources or communication tools. Controls must be proportionate to the assessment and must not remove resources that are legitimately part of the competence being assessed.</w:t>
      </w:r>
    </w:p>
    <w:p>
      <w:pPr>
        <w:pStyle w:val="ListBullet"/>
        <w:spacing w:after="50"/>
      </w:pPr>
      <w:r>
        <w:rPr>
          <w:rFonts w:ascii="Aptos" w:hAnsi="Aptos"/>
        </w:rPr>
        <w:t>Where internet/AI access is prohibited, devices must be configured so the learner cannot access AI tools, web search, messaging, cloud assistants or other unauthorised services during the assessment.</w:t>
      </w:r>
    </w:p>
    <w:p>
      <w:pPr>
        <w:pStyle w:val="ListBullet"/>
      </w:pPr>
      <w:r>
        <w:rPr>
          <w:rFonts w:ascii="Aptos" w:hAnsi="Aptos"/>
        </w:rPr>
        <w:t>Where communication with other people is prohibited, centres must take proportionate steps to prevent access to messaging, email, shared documents, screen-sharing, remote-control, social media and other communication channels during the assessment.</w:t>
      </w:r>
    </w:p>
    <w:p>
      <w:pPr>
        <w:pStyle w:val="ListBullet"/>
      </w:pPr>
      <w:r>
        <w:rPr>
          <w:rFonts w:ascii="Aptos" w:hAnsi="Aptos"/>
        </w:rPr>
        <w:t>Controls must consider AI functionality embedded within browsers, operating systems, search interfaces, word processors, productivity suites, keyboards, browser extensions, mobile devices, wearables and other connected services; an embedded feature is still an unauthorised aid where the assessment rules prohibit its use.</w:t>
      </w:r>
    </w:p>
    <w:p>
      <w:pPr>
        <w:pStyle w:val="ListBullet"/>
        <w:spacing w:after="50"/>
      </w:pPr>
      <w:r>
        <w:rPr>
          <w:rFonts w:ascii="Aptos" w:hAnsi="Aptos"/>
        </w:rPr>
        <w:t>Relevant staff must know how to disable or restrict improper internet/AI access on laptops, word processors, browser profiles and other digital devices before the assessment starts.</w:t>
      </w:r>
    </w:p>
    <w:p>
      <w:pPr>
        <w:pStyle w:val="ListBullet"/>
        <w:spacing w:after="50"/>
      </w:pPr>
      <w:r>
        <w:rPr>
          <w:rFonts w:ascii="Aptos" w:hAnsi="Aptos"/>
        </w:rPr>
        <w:t>Assessment accounts, passwords, secure files, question papers, marking materials and answer records must be protected against unauthorised access, alteration or disclosure.</w:t>
      </w:r>
    </w:p>
    <w:p>
      <w:pPr>
        <w:pStyle w:val="ListBullet"/>
        <w:spacing w:after="50"/>
      </w:pPr>
      <w:r>
        <w:rPr>
          <w:rFonts w:ascii="Aptos" w:hAnsi="Aptos"/>
        </w:rPr>
        <w:t>Electronic assessment evidence should be stored securely with an appropriate audit trail, version history or submission record where available.</w:t>
      </w:r>
    </w:p>
    <w:p>
      <w:pPr>
        <w:pStyle w:val="ListBullet"/>
        <w:spacing w:after="50"/>
      </w:pPr>
      <w:r>
        <w:rPr>
          <w:rFonts w:ascii="Aptos" w:hAnsi="Aptos"/>
        </w:rPr>
        <w:t>Where internet access is legitimately required, the assessment brief should distinguish permitted research from prohibited generation/substitution of learner work.</w:t>
      </w:r>
    </w:p>
    <w:p>
      <w:pPr>
        <w:pStyle w:val="ListBullet"/>
        <w:spacing w:after="50"/>
      </w:pPr>
      <w:r>
        <w:rPr>
          <w:rFonts w:ascii="Aptos" w:hAnsi="Aptos"/>
        </w:rPr>
        <w:t>Controls should be tested before high-stakes assessment and should include contingency arrangements for technical failure.</w:t>
      </w:r>
    </w:p>
    <w:p>
      <w:pPr>
        <w:pStyle w:val="ListBullet"/>
        <w:spacing w:after="50"/>
      </w:pPr>
      <w:r>
        <w:rPr>
          <w:rFonts w:ascii="Aptos" w:hAnsi="Aptos"/>
        </w:rPr>
        <w:t>Reasonable adjustments and accessibility tools must be preserved where required, while prohibited AI functionality is disabled where technically and procedurally possible.</w:t>
      </w:r>
    </w:p>
    <w:p>
      <w:pPr>
        <w:pStyle w:val="Heading1"/>
      </w:pPr>
      <w:r>
        <w:rPr>
          <w:rFonts w:ascii="Aptos" w:hAnsi="Aptos"/>
          <w:b/>
          <w:color w:val="764689"/>
        </w:rPr>
        <w:t>7. Identifying and Authenticating Malpractice/Maladministration</w:t>
      </w:r>
    </w:p>
    <w:p>
      <w:pPr>
        <w:spacing w:after="100" w:line="259" w:lineRule="auto"/>
      </w:pPr>
      <w:r>
        <w:rPr>
          <w:rFonts w:ascii="Aptos" w:hAnsi="Aptos"/>
          <w:i w:val="0"/>
        </w:rPr>
        <w:t>Cases may be identified through a report, routine assessment/quality assurance activity, external quality assurance, digital evidence or authenticity checks. A concern is not automatically proof of malpractice.</w:t>
      </w:r>
    </w:p>
    <w:p>
      <w:pPr>
        <w:pStyle w:val="Heading2"/>
      </w:pPr>
      <w:r>
        <w:rPr>
          <w:rFonts w:ascii="Aptos" w:hAnsi="Aptos"/>
          <w:b/>
          <w:color w:val="2D3F98"/>
        </w:rPr>
        <w:t>7.1 Routes by Which Concerns May Be Identified</w:t>
      </w:r>
    </w:p>
    <w:p>
      <w:pPr>
        <w:pStyle w:val="ListBullet"/>
        <w:spacing w:after="50"/>
      </w:pPr>
      <w:r>
        <w:rPr>
          <w:rFonts w:ascii="Aptos" w:hAnsi="Aptos"/>
        </w:rPr>
        <w:t>Reported by a coach, tutor, invigilator or examiner where behaviour has had a disruptive or improper effect on other candidates.</w:t>
      </w:r>
    </w:p>
    <w:p>
      <w:pPr>
        <w:pStyle w:val="ListBullet"/>
        <w:spacing w:after="50"/>
      </w:pPr>
      <w:r>
        <w:rPr>
          <w:rFonts w:ascii="Aptos" w:hAnsi="Aptos"/>
        </w:rPr>
        <w:t>Reported by an assessor/examiner who identifies shared answers, identical wording, unusual patterns, fabricated evidence or other authenticity concerns.</w:t>
      </w:r>
    </w:p>
    <w:p>
      <w:pPr>
        <w:pStyle w:val="ListBullet"/>
      </w:pPr>
      <w:r>
        <w:rPr>
          <w:rFonts w:ascii="Aptos" w:hAnsi="Aptos"/>
        </w:rPr>
        <w:t>Identified through patterns associated with possible collusion or cheating, such as unusual identical errors, matching sequences of answers, common non-public material, coordinated submission patterns or evidence of prohibited communication; such indicators require further investigation and are not proof by themselves.</w:t>
      </w:r>
    </w:p>
    <w:p>
      <w:pPr>
        <w:pStyle w:val="ListBullet"/>
        <w:spacing w:after="50"/>
      </w:pPr>
      <w:r>
        <w:rPr>
          <w:rFonts w:ascii="Aptos" w:hAnsi="Aptos"/>
        </w:rPr>
        <w:t>Identified by an IV/IQA through identical work, unsupported assessment decisions, irregular records or other concerns.</w:t>
      </w:r>
    </w:p>
    <w:p>
      <w:pPr>
        <w:pStyle w:val="ListBullet"/>
        <w:spacing w:after="50"/>
      </w:pPr>
      <w:r>
        <w:rPr>
          <w:rFonts w:ascii="Aptos" w:hAnsi="Aptos"/>
        </w:rPr>
        <w:t>Identified by an external verifier/quality assurer, AO, apprenticeship Assessment Organisation, legacy EPAO, regulator, funding body or other authorised reviewer.</w:t>
      </w:r>
    </w:p>
    <w:p>
      <w:pPr>
        <w:pStyle w:val="ListBullet"/>
        <w:spacing w:after="50"/>
      </w:pPr>
      <w:r>
        <w:rPr>
          <w:rFonts w:ascii="Aptos" w:hAnsi="Aptos"/>
        </w:rPr>
        <w:t>Identified through similarity checking, source verification, audit-trail review, file metadata, version history, assessment security logs or AI-related authenticity checks.</w:t>
      </w:r>
    </w:p>
    <w:p>
      <w:pPr>
        <w:pStyle w:val="ListBullet"/>
        <w:spacing w:after="50"/>
      </w:pPr>
      <w:r>
        <w:rPr>
          <w:rFonts w:ascii="Aptos" w:hAnsi="Aptos"/>
        </w:rPr>
        <w:t>Reported by a learner, employer, staff member, stakeholder or whistleblower with supporting detail/evidence.</w:t>
      </w:r>
    </w:p>
    <w:p>
      <w:pPr>
        <w:pStyle w:val="Heading2"/>
      </w:pPr>
      <w:r>
        <w:rPr>
          <w:rFonts w:ascii="Aptos" w:hAnsi="Aptos"/>
          <w:b/>
          <w:color w:val="2D3F98"/>
        </w:rPr>
        <w:t>7.2 Authenticity Checks</w:t>
      </w:r>
    </w:p>
    <w:p>
      <w:pPr>
        <w:spacing w:after="100" w:line="259" w:lineRule="auto"/>
      </w:pPr>
      <w:r>
        <w:rPr>
          <w:rFonts w:ascii="Aptos" w:hAnsi="Aptos"/>
          <w:i w:val="0"/>
        </w:rPr>
        <w:t>Where authenticity is questioned, Qualia Academy may use a combination of evidence. Automated tools are supporting evidence only and must not be sole determinants.</w:t>
      </w:r>
    </w:p>
    <w:p>
      <w:pPr>
        <w:pStyle w:val="ListBullet"/>
        <w:spacing w:after="50"/>
      </w:pPr>
      <w:r>
        <w:rPr>
          <w:rFonts w:ascii="Aptos" w:hAnsi="Aptos"/>
        </w:rPr>
        <w:t>Compare the submission with the learner’s previous authenticated work and known standard of language, reasoning and technical knowledge.</w:t>
      </w:r>
    </w:p>
    <w:p>
      <w:pPr>
        <w:pStyle w:val="ListBullet"/>
        <w:spacing w:after="50"/>
      </w:pPr>
      <w:r>
        <w:rPr>
          <w:rFonts w:ascii="Aptos" w:hAnsi="Aptos"/>
        </w:rPr>
        <w:t>Question the learner orally about concepts, sources, process, decisions, calculations and wording in the submission.</w:t>
      </w:r>
    </w:p>
    <w:p>
      <w:pPr>
        <w:pStyle w:val="ListBullet"/>
        <w:spacing w:after="50"/>
      </w:pPr>
      <w:r>
        <w:rPr>
          <w:rFonts w:ascii="Aptos" w:hAnsi="Aptos"/>
        </w:rPr>
        <w:t>Review drafts, notes, planning documents, working files, change history and file version evidence where available.</w:t>
      </w:r>
    </w:p>
    <w:p>
      <w:pPr>
        <w:pStyle w:val="ListBullet"/>
        <w:spacing w:after="50"/>
      </w:pPr>
      <w:r>
        <w:rPr>
          <w:rFonts w:ascii="Aptos" w:hAnsi="Aptos"/>
        </w:rPr>
        <w:t>Verify whether cited sources exist and support the claims made.</w:t>
      </w:r>
    </w:p>
    <w:p>
      <w:pPr>
        <w:pStyle w:val="ListBullet"/>
        <w:spacing w:after="50"/>
      </w:pPr>
      <w:r>
        <w:rPr>
          <w:rFonts w:ascii="Aptos" w:hAnsi="Aptos"/>
        </w:rPr>
        <w:t>Review raw data, calculations, code history, practical process evidence, metadata, observation evidence and workplace records.</w:t>
      </w:r>
    </w:p>
    <w:p>
      <w:pPr>
        <w:pStyle w:val="ListBullet"/>
        <w:spacing w:after="50"/>
      </w:pPr>
      <w:r>
        <w:rPr>
          <w:rFonts w:ascii="Aptos" w:hAnsi="Aptos"/>
        </w:rPr>
        <w:t>Consider AI Use Declarations, prompt/output records or screenshots where relevant and lawfully available.</w:t>
      </w:r>
    </w:p>
    <w:p>
      <w:pPr>
        <w:pStyle w:val="ListBullet"/>
        <w:spacing w:after="50"/>
      </w:pPr>
      <w:r>
        <w:rPr>
          <w:rFonts w:ascii="Aptos" w:hAnsi="Aptos"/>
        </w:rPr>
        <w:t>Consider similarity reports and AI-detection indicators alongside their limitations, including false positives and false negatives.</w:t>
      </w:r>
    </w:p>
    <w:p>
      <w:pPr>
        <w:pStyle w:val="ListBullet"/>
        <w:spacing w:after="50"/>
      </w:pPr>
      <w:r>
        <w:rPr>
          <w:rFonts w:ascii="Aptos" w:hAnsi="Aptos"/>
        </w:rPr>
        <w:t>Consider approved reasonable adjustments, assistive technology, English-language support, disability/neurodivergent communication differences and the learner’s normal way of working before drawing conclusions.</w:t>
      </w:r>
    </w:p>
    <w:p>
      <w:pPr>
        <w:pStyle w:val="ListBullet"/>
        <w:spacing w:after="50"/>
      </w:pPr>
      <w:r>
        <w:rPr>
          <w:rFonts w:ascii="Aptos" w:hAnsi="Aptos"/>
        </w:rPr>
        <w:t>Where practical media are used, assess whether images/audio/video are authentic or show signs of reuse, manipulation, synthetic generation or impersonation.</w:t>
      </w:r>
    </w:p>
    <w:p>
      <w:pPr>
        <w:pStyle w:val="Heading2"/>
      </w:pPr>
      <w:r>
        <w:t>7.3 Collusion and Cheating Authentication Evidence</w:t>
      </w:r>
    </w:p>
    <w:p>
      <w:pPr/>
      <w:r>
        <w:t>Where collusion or cheating is suspected, evidence will be gathered proportionately and lawfully. Depending on the assessment and allegation, relevant evidence may include:</w:t>
      </w:r>
    </w:p>
    <w:p>
      <w:pPr>
        <w:pStyle w:val="ListBullet"/>
      </w:pPr>
      <w:r>
        <w:t>Comparison of the learners' work for identical or highly distinctive wording, errors, calculations, structure, code, source selection or non-public content.</w:t>
      </w:r>
    </w:p>
    <w:p>
      <w:pPr>
        <w:pStyle w:val="ListBullet"/>
      </w:pPr>
      <w:r>
        <w:t>Drafts, file properties, version histories, editing records and submission timestamps where available.</w:t>
      </w:r>
    </w:p>
    <w:p>
      <w:pPr>
        <w:pStyle w:val="ListBullet"/>
      </w:pPr>
      <w:r>
        <w:t>Assessment seating plans, invigilation records, observation notes and records of authorised or unauthorised materials/devices.</w:t>
      </w:r>
    </w:p>
    <w:p>
      <w:pPr>
        <w:pStyle w:val="ListBullet"/>
      </w:pPr>
      <w:r>
        <w:t>Platform, account, access or audit logs where lawfully available and proportionate to the investigation.</w:t>
      </w:r>
    </w:p>
    <w:p>
      <w:pPr>
        <w:pStyle w:val="ListBullet"/>
      </w:pPr>
      <w:r>
        <w:t>Relevant messages, emails, shared-document history or other communications voluntarily provided or otherwise lawfully available.</w:t>
      </w:r>
    </w:p>
    <w:p>
      <w:pPr>
        <w:pStyle w:val="ListBullet"/>
      </w:pPr>
      <w:r>
        <w:t>Oral questioning of each learner separately to test understanding, process, sources, decision-making and authorship.</w:t>
      </w:r>
    </w:p>
    <w:p>
      <w:pPr>
        <w:pStyle w:val="ListBullet"/>
      </w:pPr>
      <w:r>
        <w:t>Comparison with each learner's previous authenticated work and known performance.</w:t>
      </w:r>
    </w:p>
    <w:p>
      <w:pPr>
        <w:pStyle w:val="ListBullet"/>
      </w:pPr>
      <w:r>
        <w:t>Evidence of group-work instructions and the permitted boundary between shared and individual activity.</w:t>
      </w:r>
    </w:p>
    <w:p>
      <w:pPr>
        <w:pStyle w:val="ListBullet"/>
      </w:pPr>
      <w:r>
        <w:t>AI Use Declarations, prompt/output records or shared AI-generated material where AI may have facilitated the conduct.</w:t>
      </w:r>
    </w:p>
    <w:p>
      <w:pPr>
        <w:pStyle w:val="ListBullet"/>
      </w:pPr>
      <w:r>
        <w:t>Evidence from witnesses, employers, tutors, invigilators or other relevant parties.</w:t>
      </w:r>
    </w:p>
    <w:p>
      <w:pPr/>
      <w:r>
        <w:t>A finding will not be made solely because two learners used the same taught terminology, common template, public source or required methodology. The investigation must determine whether collaboration or assistance went beyond what was permitted and whether the evidence can still be validly attributed to each learner.</w:t>
      </w:r>
    </w:p>
    <w:p>
      <w:pPr>
        <w:pStyle w:val="Heading1"/>
      </w:pPr>
      <w:r>
        <w:rPr>
          <w:rFonts w:ascii="Aptos" w:hAnsi="Aptos"/>
          <w:b/>
          <w:color w:val="764689"/>
        </w:rPr>
        <w:t>8. Investigation Procedure</w:t>
      </w:r>
    </w:p>
    <w:p>
      <w:pPr>
        <w:pStyle w:val="Heading2"/>
      </w:pPr>
      <w:r>
        <w:rPr>
          <w:rFonts w:ascii="Aptos" w:hAnsi="Aptos"/>
          <w:b/>
          <w:color w:val="2D3F98"/>
        </w:rPr>
        <w:t>8.1 Initial Response</w:t>
      </w:r>
    </w:p>
    <w:p>
      <w:pPr>
        <w:spacing w:after="100" w:line="259" w:lineRule="auto"/>
      </w:pPr>
      <w:r>
        <w:rPr>
          <w:rFonts w:ascii="Aptos" w:hAnsi="Aptos"/>
          <w:i w:val="0"/>
        </w:rPr>
        <w:t>Where Qualia Academy discovers or suspects malpractice/maladministration, it will conduct an investigation commensurate with the nature, scale, seriousness and potential adverse effect of the allegation. The Academy will make the individual(s) aware, preferably in writing, at the earliest reasonable opportunity of the allegation and possible consequences, and will provide a fair opportunity to respond.</w:t>
      </w:r>
    </w:p>
    <w:p>
      <w:pPr>
        <w:pStyle w:val="Heading2"/>
      </w:pPr>
      <w:r>
        <w:rPr>
          <w:rFonts w:ascii="Aptos" w:hAnsi="Aptos"/>
          <w:b/>
          <w:color w:val="2D3F98"/>
        </w:rPr>
        <w:t>8.2 Investigation Stages</w:t>
      </w:r>
    </w:p>
    <w:p>
      <w:pPr>
        <w:pStyle w:val="ListBullet"/>
        <w:spacing w:after="50"/>
      </w:pPr>
      <w:r>
        <w:rPr>
          <w:rFonts w:ascii="Aptos" w:hAnsi="Aptos"/>
        </w:rPr>
        <w:t>Preliminary investigation: conducted by the appropriate programme/quality lead or authorised person to determine whether a full investigation is necessary and whether immediate protective action is required.</w:t>
      </w:r>
    </w:p>
    <w:p>
      <w:pPr>
        <w:pStyle w:val="ListBullet"/>
        <w:spacing w:after="50"/>
      </w:pPr>
      <w:r>
        <w:rPr>
          <w:rFonts w:ascii="Aptos" w:hAnsi="Aptos"/>
        </w:rPr>
        <w:t>Where an allegation against a member of staff appears to have substance and continued assessment activity could create further risk, the Academy may halt or restrict relevant assessment activity while the investigation is completed.</w:t>
      </w:r>
    </w:p>
    <w:p>
      <w:pPr>
        <w:pStyle w:val="ListBullet"/>
        <w:spacing w:after="50"/>
      </w:pPr>
      <w:r>
        <w:rPr>
          <w:rFonts w:ascii="Aptos" w:hAnsi="Aptos"/>
        </w:rPr>
        <w:t>Full investigation: where necessary, an independent Investigation Officer will be appointed by the Head of Academy (Principal) / Head of Centre or designated nominee.</w:t>
      </w:r>
    </w:p>
    <w:p>
      <w:pPr>
        <w:pStyle w:val="ListBullet"/>
        <w:spacing w:after="50"/>
      </w:pPr>
      <w:r>
        <w:rPr>
          <w:rFonts w:ascii="Aptos" w:hAnsi="Aptos"/>
        </w:rPr>
        <w:t>The investigation may examine current and historical evidence to establish root cause, scope and potential impact on learners past and present.</w:t>
      </w:r>
    </w:p>
    <w:p>
      <w:pPr>
        <w:pStyle w:val="ListBullet"/>
        <w:spacing w:after="50"/>
      </w:pPr>
      <w:r>
        <w:rPr>
          <w:rFonts w:ascii="Aptos" w:hAnsi="Aptos"/>
        </w:rPr>
        <w:t>Relevant personnel may be interviewed and documentary, digital, assessment, quality assurance and AI-related evidence may be reviewed.</w:t>
      </w:r>
    </w:p>
    <w:p>
      <w:pPr>
        <w:pStyle w:val="ListBullet"/>
        <w:spacing w:after="50"/>
      </w:pPr>
      <w:r>
        <w:rPr>
          <w:rFonts w:ascii="Aptos" w:hAnsi="Aptos"/>
        </w:rPr>
        <w:t>All stages of the investigation will be documented.</w:t>
      </w:r>
    </w:p>
    <w:p>
      <w:pPr>
        <w:pStyle w:val="ListBullet"/>
        <w:spacing w:after="50"/>
      </w:pPr>
      <w:r>
        <w:rPr>
          <w:rFonts w:ascii="Aptos" w:hAnsi="Aptos"/>
        </w:rPr>
        <w:t>The Investigation Officer will produce a report setting out the allegation, evidence considered, findings, conclusion, outcomes and recommendations.</w:t>
      </w:r>
    </w:p>
    <w:p>
      <w:pPr>
        <w:pStyle w:val="ListBullet"/>
        <w:spacing w:after="50"/>
      </w:pPr>
      <w:r>
        <w:rPr>
          <w:rFonts w:ascii="Aptos" w:hAnsi="Aptos"/>
        </w:rPr>
        <w:t>The person concerned will be informed of the decision and the avenues for internal/external appeal as applicable.</w:t>
      </w:r>
    </w:p>
    <w:p>
      <w:pPr>
        <w:pStyle w:val="Heading2"/>
      </w:pPr>
      <w:r>
        <w:rPr>
          <w:rFonts w:ascii="Aptos" w:hAnsi="Aptos"/>
          <w:b/>
          <w:color w:val="2D3F98"/>
        </w:rPr>
        <w:t>8.3 Fairness, Independence and Conflicts of Interest</w:t>
      </w:r>
    </w:p>
    <w:p>
      <w:pPr>
        <w:pStyle w:val="ListBullet"/>
        <w:spacing w:after="50"/>
      </w:pPr>
      <w:r>
        <w:rPr>
          <w:rFonts w:ascii="Aptos" w:hAnsi="Aptos"/>
        </w:rPr>
        <w:t>The investigation will be objective, proportionate, timely and based on evidence.</w:t>
      </w:r>
    </w:p>
    <w:p>
      <w:pPr>
        <w:pStyle w:val="ListBullet"/>
        <w:spacing w:after="50"/>
      </w:pPr>
      <w:r>
        <w:rPr>
          <w:rFonts w:ascii="Aptos" w:hAnsi="Aptos"/>
        </w:rPr>
        <w:t>No person with a material conflict of interest should lead or determine the investigation.</w:t>
      </w:r>
    </w:p>
    <w:p>
      <w:pPr>
        <w:pStyle w:val="ListBullet"/>
        <w:spacing w:after="50"/>
      </w:pPr>
      <w:r>
        <w:rPr>
          <w:rFonts w:ascii="Aptos" w:hAnsi="Aptos"/>
        </w:rPr>
        <w:t>Where the Head of Academy, Quality Manager, programme lead, assessor or investigator has a conflict, an appropriate alternative will be appointed.</w:t>
      </w:r>
    </w:p>
    <w:p>
      <w:pPr>
        <w:pStyle w:val="ListBullet"/>
        <w:spacing w:after="50"/>
      </w:pPr>
      <w:r>
        <w:rPr>
          <w:rFonts w:ascii="Aptos" w:hAnsi="Aptos"/>
        </w:rPr>
        <w:t>AI-detection scores, similarity percentages, automated flags or stylistic impressions will not, by themselves, determine the outcome.</w:t>
      </w:r>
    </w:p>
    <w:p>
      <w:pPr>
        <w:pStyle w:val="ListBullet"/>
        <w:spacing w:after="50"/>
      </w:pPr>
      <w:r>
        <w:rPr>
          <w:rFonts w:ascii="Aptos" w:hAnsi="Aptos"/>
        </w:rPr>
        <w:t>Conclusions will distinguish poor academic practice, accidental error, maladministration and deliberate malpractice where the evidence supports doing so.</w:t>
      </w:r>
    </w:p>
    <w:p>
      <w:pPr>
        <w:pStyle w:val="Heading2"/>
      </w:pPr>
      <w:r>
        <w:rPr>
          <w:rFonts w:ascii="Aptos" w:hAnsi="Aptos"/>
          <w:b/>
          <w:color w:val="2D3F98"/>
        </w:rPr>
        <w:t>8.4 Staff Cases</w:t>
      </w:r>
    </w:p>
    <w:p>
      <w:pPr>
        <w:spacing w:after="100" w:line="259" w:lineRule="auto"/>
      </w:pPr>
      <w:r>
        <w:rPr>
          <w:rFonts w:ascii="Aptos" w:hAnsi="Aptos"/>
        </w:rPr>
        <w:t>For staff malpractice/maladministration, the Head of Academy and appropriate management/HR function will decide whether to invoke the Staff Disciplinary Procedure. Action will be commensurate with seriousness and comply with employment requirements and applicable AO / apprenticeship Assessment Organisation / legacy EPAO rules.</w:t>
      </w:r>
    </w:p>
    <w:p>
      <w:pPr>
        <w:pStyle w:val="Heading2"/>
      </w:pPr>
      <w:r>
        <w:rPr>
          <w:rFonts w:ascii="Aptos" w:hAnsi="Aptos"/>
          <w:b/>
          <w:color w:val="2D3F98"/>
        </w:rPr>
        <w:t>8.5 Learner Assessment Cases</w:t>
      </w:r>
    </w:p>
    <w:p>
      <w:pPr>
        <w:spacing w:after="100" w:line="259" w:lineRule="auto"/>
      </w:pPr>
      <w:r>
        <w:rPr>
          <w:rFonts w:ascii="Aptos" w:hAnsi="Aptos"/>
        </w:rPr>
        <w:t>For learner assessment malpractice, the Investigation Officer will consider this policy, the Learner Disciplinary Procedure, assessment rules and applicable AO / apprenticeship Assessment Organisation / legacy EPAO requirements. Academic support or remedial action may be used where the issue is poor academic practice rather than deliberate academic theft, as set out in Appendix 1.</w:t>
      </w:r>
    </w:p>
    <w:p>
      <w:pPr>
        <w:pStyle w:val="Heading1"/>
      </w:pPr>
      <w:r>
        <w:rPr>
          <w:rFonts w:ascii="Aptos" w:hAnsi="Aptos"/>
          <w:b/>
          <w:color w:val="764689"/>
        </w:rPr>
        <w:t>9. Possible Actions, Penalties and Sanctions</w:t>
      </w:r>
    </w:p>
    <w:p>
      <w:pPr>
        <w:spacing w:after="100" w:line="259" w:lineRule="auto"/>
      </w:pPr>
      <w:r>
        <w:rPr>
          <w:rFonts w:ascii="Aptos" w:hAnsi="Aptos"/>
        </w:rPr>
        <w:t>Qualia Academy may take internal disciplinary, assessment or quality assurance action. The response will be proportionate to seriousness, intent, scale, previous history, impact on assessment validity, learner circumstances and applicable AO / apprenticeship Assessment Organisation / legacy EPAO requirements. Possible actions include:</w:t>
      </w:r>
    </w:p>
    <w:p>
      <w:pPr>
        <w:pStyle w:val="ListBullet"/>
        <w:spacing w:after="50"/>
      </w:pPr>
      <w:r>
        <w:rPr>
          <w:rFonts w:ascii="Aptos" w:hAnsi="Aptos"/>
        </w:rPr>
        <w:t>No disciplinary penalty, but mandatory academic-integrity, referencing or AI-use support where the concern is judged to be poor academic practice rather than deliberate misconduct.</w:t>
      </w:r>
    </w:p>
    <w:p>
      <w:pPr>
        <w:pStyle w:val="ListBullet"/>
        <w:spacing w:after="50"/>
      </w:pPr>
      <w:r>
        <w:rPr>
          <w:rFonts w:ascii="Aptos" w:hAnsi="Aptos"/>
        </w:rPr>
        <w:t>A recorded action plan, tutorial, referencing session, AI-integrity session or reflective activity.</w:t>
      </w:r>
    </w:p>
    <w:p>
      <w:pPr>
        <w:pStyle w:val="ListBullet"/>
        <w:spacing w:after="50"/>
      </w:pPr>
      <w:r>
        <w:rPr>
          <w:rFonts w:ascii="Aptos" w:hAnsi="Aptos"/>
        </w:rPr>
        <w:t>A written warning about future conduct.</w:t>
      </w:r>
    </w:p>
    <w:p>
      <w:pPr>
        <w:pStyle w:val="ListBullet"/>
        <w:spacing w:after="50"/>
      </w:pPr>
      <w:r>
        <w:rPr>
          <w:rFonts w:ascii="Aptos" w:hAnsi="Aptos"/>
        </w:rPr>
        <w:t>Resubmission of part or all of an assessment, with any cap or retrieval rule applied in accordance with programme/AO / apprenticeship Assessment Organisation / legacy EPAO requirements.</w:t>
      </w:r>
    </w:p>
    <w:p>
      <w:pPr>
        <w:pStyle w:val="ListBullet"/>
        <w:spacing w:after="50"/>
      </w:pPr>
      <w:r>
        <w:rPr>
          <w:rFonts w:ascii="Aptos" w:hAnsi="Aptos"/>
        </w:rPr>
        <w:t>Loss of marks or a fail decision for part or all of an assessment where permitted.</w:t>
      </w:r>
    </w:p>
    <w:p>
      <w:pPr>
        <w:pStyle w:val="ListBullet"/>
        <w:spacing w:after="50"/>
      </w:pPr>
      <w:r>
        <w:rPr>
          <w:rFonts w:ascii="Aptos" w:hAnsi="Aptos"/>
        </w:rPr>
        <w:t>Removal, invalidation or replacement of evidence that is not authentic.</w:t>
      </w:r>
    </w:p>
    <w:p>
      <w:pPr>
        <w:pStyle w:val="ListBullet"/>
        <w:spacing w:after="50"/>
      </w:pPr>
      <w:r>
        <w:rPr>
          <w:rFonts w:ascii="Aptos" w:hAnsi="Aptos"/>
        </w:rPr>
        <w:t>Additional observation, questioning or authentication activity before achievement is confirmed.</w:t>
      </w:r>
    </w:p>
    <w:p>
      <w:pPr>
        <w:pStyle w:val="ListBullet"/>
        <w:spacing w:after="50"/>
      </w:pPr>
      <w:r>
        <w:rPr>
          <w:rFonts w:ascii="Aptos" w:hAnsi="Aptos"/>
        </w:rPr>
        <w:t>Notification to the learner’s employer, Awarding Organisation, apprenticeship Assessment Organisation, legacy EPAO, Department for Work and Pensions, Skills England, Department for Education (where relevant), regulator, funding body or other appropriate organisation where required.</w:t>
      </w:r>
    </w:p>
    <w:p>
      <w:pPr>
        <w:pStyle w:val="ListBullet"/>
        <w:spacing w:after="50"/>
      </w:pPr>
      <w:r>
        <w:rPr>
          <w:rFonts w:ascii="Aptos" w:hAnsi="Aptos"/>
        </w:rPr>
        <w:t>Disqualification from an assessment, apprenticeship or qualification for a stated period or indefinitely where such sanction is available under applicable rules.</w:t>
      </w:r>
    </w:p>
    <w:p>
      <w:pPr>
        <w:pStyle w:val="ListBullet"/>
        <w:spacing w:after="50"/>
      </w:pPr>
      <w:r>
        <w:rPr>
          <w:rFonts w:ascii="Aptos" w:hAnsi="Aptos"/>
        </w:rPr>
        <w:t>Invocation of learner or staff disciplinary procedures, which may include removal from a course or dismissal in serious cases.</w:t>
      </w:r>
    </w:p>
    <w:p>
      <w:pPr>
        <w:pStyle w:val="ListBullet"/>
        <w:spacing w:after="50"/>
      </w:pPr>
      <w:r>
        <w:rPr>
          <w:rFonts w:ascii="Aptos" w:hAnsi="Aptos"/>
        </w:rPr>
        <w:t>Immediate containment, suspension of affected assessment activity or withdrawal of insecure materials where necessary to protect assessment integrity.</w:t>
      </w:r>
    </w:p>
    <w:p>
      <w:pPr>
        <w:pStyle w:val="ListBullet"/>
        <w:spacing w:after="50"/>
      </w:pPr>
      <w:r>
        <w:rPr>
          <w:rFonts w:ascii="Aptos" w:hAnsi="Aptos"/>
        </w:rPr>
        <w:t>Where an adverse effect is identified, immediate escalation and notification to the relevant external body as required.</w:t>
      </w:r>
    </w:p>
    <w:p>
      <w:pPr>
        <w:spacing w:after="100" w:line="259" w:lineRule="auto"/>
      </w:pPr>
      <w:r>
        <w:rPr>
          <w:rFonts w:ascii="Aptos" w:hAnsi="Aptos"/>
          <w:i w:val="0"/>
        </w:rPr>
        <w:t>The detailed Qualia Academy academic-theft/plagiarism sanction framework retained from the previous policy is set out in Appendix 1, including the specific commercial training provision on theft of images or footage.</w:t>
      </w:r>
    </w:p>
    <w:p>
      <w:pPr>
        <w:pStyle w:val="Heading2"/>
      </w:pPr>
      <w:r>
        <w:t>9.1 Collusion and Cheating Cases</w:t>
      </w:r>
    </w:p>
    <w:p>
      <w:pPr/>
      <w:r>
        <w:t>Collusion and cheating will be considered according to the applicable Awarding Organisation, apprenticeship Assessment Organisation, legacy EPAO or programme rules. Qualia Academy will not automatically apply the plagiarism percentage thresholds in Appendix 1 to collusion or cheating. In determining the appropriate response, the Academy will consider:</w:t>
      </w:r>
    </w:p>
    <w:p>
      <w:pPr>
        <w:pStyle w:val="ListBullet"/>
      </w:pPr>
      <w:r>
        <w:t>Whether the conduct was accidental, careless, reckless, deliberate or pre-planned.</w:t>
      </w:r>
    </w:p>
    <w:p>
      <w:pPr>
        <w:pStyle w:val="ListBullet"/>
      </w:pPr>
      <w:r>
        <w:t>The extent of unauthorised assistance or advantage and whether it affected a small part or the substance of the assessment.</w:t>
      </w:r>
    </w:p>
    <w:p>
      <w:pPr>
        <w:pStyle w:val="ListBullet"/>
      </w:pPr>
      <w:r>
        <w:t>Whether the learner gave as well as received improper assistance, or knowingly enabled another learner to cheat.</w:t>
      </w:r>
    </w:p>
    <w:p>
      <w:pPr>
        <w:pStyle w:val="ListBullet"/>
      </w:pPr>
      <w:r>
        <w:t>Whether confidential assessment material, impersonation, contract cheating, unauthorised technology or deliberate concealment was involved.</w:t>
      </w:r>
    </w:p>
    <w:p>
      <w:pPr>
        <w:pStyle w:val="ListBullet"/>
      </w:pPr>
      <w:r>
        <w:t>Whether the declaration of authenticity had been signed or the work had already been submitted/certified, where this affects external reporting requirements.</w:t>
      </w:r>
    </w:p>
    <w:p>
      <w:pPr>
        <w:pStyle w:val="ListBullet"/>
      </w:pPr>
      <w:r>
        <w:t>Previous relevant concerns or proven offences, while avoiding double punishment for the same conduct.</w:t>
      </w:r>
    </w:p>
    <w:p>
      <w:pPr>
        <w:pStyle w:val="ListBullet"/>
      </w:pPr>
      <w:r>
        <w:t>Any mitigating or aggravating circumstances supported by evidence.</w:t>
      </w:r>
    </w:p>
    <w:p>
      <w:pPr>
        <w:pStyle w:val="ListBullet"/>
      </w:pPr>
      <w:r>
        <w:t>The need to ensure there is no academic or assessment advantage from the malpractice and to protect other learners and public confidence.</w:t>
      </w:r>
    </w:p>
    <w:p>
      <w:pPr/>
      <w:r>
        <w:t>Possible outcomes include academic-integrity support for minor poor practice, warning, removal of unauthentic evidence, reassessment/resubmission, loss of marks or fail outcomes where permitted, disciplinary action, external reporting and disqualification where the applicable external rules provide for it. Serious conduct such as deliberate contract cheating, personation, prior access to confidential assessment material, extensive collusion or organised cheating may justify escalation directly to formal disciplinary and external processes.</w:t>
      </w:r>
    </w:p>
    <w:p>
      <w:pPr>
        <w:pStyle w:val="Heading1"/>
      </w:pPr>
      <w:r>
        <w:rPr>
          <w:rFonts w:ascii="Aptos" w:hAnsi="Aptos"/>
          <w:b/>
          <w:color w:val="764689"/>
        </w:rPr>
        <w:t>10. Reporting, Records, Adverse Effects and Whistleblowing</w:t>
      </w:r>
    </w:p>
    <w:p>
      <w:pPr>
        <w:pStyle w:val="Heading2"/>
      </w:pPr>
      <w:r>
        <w:rPr>
          <w:rFonts w:ascii="Aptos" w:hAnsi="Aptos"/>
          <w:b/>
          <w:color w:val="2D3F98"/>
        </w:rPr>
        <w:t>10.1 Reporting a Concern</w:t>
      </w:r>
    </w:p>
    <w:p>
      <w:pPr>
        <w:spacing w:after="100" w:line="259" w:lineRule="auto"/>
      </w:pPr>
      <w:r>
        <w:rPr>
          <w:rFonts w:ascii="Aptos" w:hAnsi="Aptos"/>
          <w:i w:val="0"/>
        </w:rPr>
        <w:t>A person reporting an actual or suspected incident should provide a clear description of the allegation and any available evidence. Staff may use the Whistleblowing Policy where appropriate, including where additional protection is required.</w:t>
      </w:r>
    </w:p>
    <w:p>
      <w:pPr>
        <w:pStyle w:val="Heading2"/>
      </w:pPr>
      <w:r>
        <w:rPr>
          <w:rFonts w:ascii="Aptos" w:hAnsi="Aptos"/>
          <w:b/>
          <w:color w:val="2D3F98"/>
        </w:rPr>
        <w:t>10.2 Records</w:t>
      </w:r>
    </w:p>
    <w:p>
      <w:pPr>
        <w:spacing w:after="100" w:line="259" w:lineRule="auto"/>
      </w:pPr>
      <w:r>
        <w:rPr>
          <w:rFonts w:ascii="Aptos" w:hAnsi="Aptos"/>
          <w:i w:val="0"/>
        </w:rPr>
        <w:t>All stages of allegations will be recorded within the Academy’s information management and quality systems. Records should include the allegation, evidence, communications, interviews, conflicts of interest, findings, decision, sanctions, appeals, external notifications, adverse-effect considerations and corrective/preventative actions.</w:t>
      </w:r>
    </w:p>
    <w:p>
      <w:pPr>
        <w:pStyle w:val="Heading2"/>
      </w:pPr>
      <w:r>
        <w:rPr>
          <w:rFonts w:ascii="Aptos" w:hAnsi="Aptos"/>
          <w:b/>
          <w:color w:val="2D3F98"/>
        </w:rPr>
        <w:t>10.3 External Notification and Adverse Effects</w:t>
      </w:r>
    </w:p>
    <w:p>
      <w:pPr>
        <w:spacing w:after="100" w:line="259" w:lineRule="auto"/>
      </w:pPr>
      <w:r>
        <w:rPr>
          <w:rFonts w:ascii="Aptos" w:hAnsi="Aptos"/>
        </w:rPr>
        <w:t>The Quality Manager or designated responsible person will report acts or suspected acts of malpractice/maladministration to the relevant AO, apprenticeship Assessment Organisation, legacy EPAO, regulator, funding body or other organisation where their rules require notification. Where an incident may have an adverse effect, escalation will be prompt and Qualia Academy will follow the external body’s instructions.</w:t>
      </w:r>
    </w:p>
    <w:p>
      <w:pPr>
        <w:pStyle w:val="Heading2"/>
      </w:pPr>
      <w:r>
        <w:rPr>
          <w:rFonts w:ascii="Aptos" w:hAnsi="Aptos"/>
          <w:b/>
          <w:color w:val="2D3F98"/>
        </w:rPr>
        <w:t>10.4 Appeals</w:t>
      </w:r>
    </w:p>
    <w:p>
      <w:pPr>
        <w:spacing w:after="100" w:line="259" w:lineRule="auto"/>
      </w:pPr>
      <w:r>
        <w:rPr>
          <w:rFonts w:ascii="Aptos" w:hAnsi="Aptos"/>
        </w:rPr>
        <w:t>Individuals will be informed of the route and timescale for appealing decisions under the applicable Qualia Academy, AO, apprenticeship Assessment Organisation or legacy EPAO appeals procedure. An appeal should be considered by an appropriately independent person or panel where required.</w:t>
      </w:r>
    </w:p>
    <w:p>
      <w:pPr>
        <w:pStyle w:val="Heading2"/>
      </w:pPr>
      <w:r>
        <w:rPr>
          <w:rFonts w:ascii="Aptos" w:hAnsi="Aptos"/>
          <w:b/>
          <w:color w:val="2D3F98"/>
        </w:rPr>
        <w:t>10.5 Organisational Reporting</w:t>
      </w:r>
    </w:p>
    <w:p>
      <w:pPr>
        <w:spacing w:after="100" w:line="259" w:lineRule="auto"/>
      </w:pPr>
      <w:r>
        <w:rPr>
          <w:rFonts w:ascii="Aptos" w:hAnsi="Aptos"/>
          <w:i w:val="0"/>
        </w:rPr>
        <w:t>Anonymised summaries of cases and outcomes may be reviewed through governance and quality processes to identify patterns, risks, training needs and improvements. Where cases reveal ambiguity in assessment briefs, AI rules, supervision or authentication, those arrangements will be reviewed.</w:t>
      </w:r>
    </w:p>
    <w:p>
      <w:pPr>
        <w:pStyle w:val="Heading1"/>
      </w:pPr>
      <w:r>
        <w:rPr>
          <w:rFonts w:ascii="Aptos" w:hAnsi="Aptos"/>
          <w:b/>
          <w:color w:val="764689"/>
        </w:rPr>
        <w:t>11. Corrective and Preventative Action</w:t>
      </w:r>
    </w:p>
    <w:p>
      <w:pPr>
        <w:spacing w:after="100" w:line="259" w:lineRule="auto"/>
      </w:pPr>
      <w:r>
        <w:rPr>
          <w:rFonts w:ascii="Aptos" w:hAnsi="Aptos"/>
          <w:i w:val="0"/>
        </w:rPr>
        <w:t>Where malpractice or maladministration is proven, or an investigation identifies control weaknesses even where deliberate misconduct is not proven, Qualia Academy will consider action to remedy the immediate issue and reduce the risk of recurrence.</w:t>
      </w:r>
    </w:p>
    <w:p>
      <w:pPr>
        <w:pStyle w:val="ListBullet"/>
        <w:spacing w:after="50"/>
      </w:pPr>
      <w:r>
        <w:rPr>
          <w:rFonts w:ascii="Aptos" w:hAnsi="Aptos"/>
        </w:rPr>
        <w:t>Correct or withdraw invalid assessment evidence, records, decisions or claims where required.</w:t>
      </w:r>
    </w:p>
    <w:p>
      <w:pPr>
        <w:pStyle w:val="ListBullet"/>
        <w:spacing w:after="50"/>
      </w:pPr>
      <w:r>
        <w:rPr>
          <w:rFonts w:ascii="Aptos" w:hAnsi="Aptos"/>
        </w:rPr>
        <w:t>Protect affected learners from avoidable prejudice and provide appropriate reassessment or remediation where applicable.</w:t>
      </w:r>
    </w:p>
    <w:p>
      <w:pPr>
        <w:pStyle w:val="ListBullet"/>
        <w:spacing w:after="50"/>
      </w:pPr>
      <w:r>
        <w:rPr>
          <w:rFonts w:ascii="Aptos" w:hAnsi="Aptos"/>
        </w:rPr>
        <w:t>Review whether other learners, cohorts, assessments or historic decisions may be affected.</w:t>
      </w:r>
    </w:p>
    <w:p>
      <w:pPr>
        <w:pStyle w:val="ListBullet"/>
        <w:spacing w:after="50"/>
      </w:pPr>
      <w:r>
        <w:rPr>
          <w:rFonts w:ascii="Aptos" w:hAnsi="Aptos"/>
        </w:rPr>
        <w:t>Clarify or redesign assessment briefs, AI status, supervision, task design or authentication where weaknesses contributed to the concern.</w:t>
      </w:r>
    </w:p>
    <w:p>
      <w:pPr>
        <w:pStyle w:val="ListBullet"/>
        <w:spacing w:after="50"/>
      </w:pPr>
      <w:r>
        <w:rPr>
          <w:rFonts w:ascii="Aptos" w:hAnsi="Aptos"/>
        </w:rPr>
        <w:t>Strengthen digital access controls, secure storage, account permissions or evidence audit trails where appropriate.</w:t>
      </w:r>
    </w:p>
    <w:p>
      <w:pPr>
        <w:pStyle w:val="ListBullet"/>
        <w:spacing w:after="50"/>
      </w:pPr>
      <w:r>
        <w:rPr>
          <w:rFonts w:ascii="Aptos" w:hAnsi="Aptos"/>
        </w:rPr>
        <w:t>Provide targeted staff or learner training and record completion.</w:t>
      </w:r>
    </w:p>
    <w:p>
      <w:pPr>
        <w:pStyle w:val="ListBullet"/>
        <w:spacing w:after="50"/>
      </w:pPr>
      <w:r>
        <w:rPr>
          <w:rFonts w:ascii="Aptos" w:hAnsi="Aptos"/>
        </w:rPr>
        <w:t>Review approved AI tools, supplier controls, privacy/cyber-security arrangements or safe-use rules where relevant.</w:t>
      </w:r>
    </w:p>
    <w:p>
      <w:pPr>
        <w:pStyle w:val="ListBullet"/>
        <w:spacing w:after="50"/>
      </w:pPr>
      <w:r>
        <w:rPr>
          <w:rFonts w:ascii="Aptos" w:hAnsi="Aptos"/>
        </w:rPr>
        <w:t>Monitor actions to completion and evaluate whether they have reduced the identified risk.</w:t>
      </w:r>
    </w:p>
    <w:p>
      <w:pPr>
        <w:pStyle w:val="ListBullet"/>
        <w:spacing w:after="50"/>
      </w:pPr>
      <w:r>
        <w:rPr>
          <w:rFonts w:ascii="Aptos" w:hAnsi="Aptos"/>
        </w:rPr>
        <w:t>Where external bodies specify corrective actions, complete them within required timescales and retain evidence.</w:t>
      </w:r>
    </w:p>
    <w:p>
      <w:pPr>
        <w:pStyle w:val="Heading1"/>
      </w:pPr>
      <w:r>
        <w:rPr>
          <w:rFonts w:ascii="Aptos" w:hAnsi="Aptos"/>
          <w:b/>
          <w:color w:val="764689"/>
        </w:rPr>
        <w:t>12. Monitoring, Review and Staff Competence</w:t>
      </w:r>
    </w:p>
    <w:p>
      <w:pPr>
        <w:pStyle w:val="ListBullet"/>
        <w:spacing w:after="50"/>
      </w:pPr>
      <w:r>
        <w:rPr>
          <w:rFonts w:ascii="Aptos" w:hAnsi="Aptos"/>
        </w:rPr>
        <w:t>Internal monitoring, verification and quality assurance of assessment activity will include malpractice/maladministration and authenticity checks.</w:t>
      </w:r>
    </w:p>
    <w:p>
      <w:pPr>
        <w:pStyle w:val="ListBullet"/>
        <w:spacing w:after="50"/>
      </w:pPr>
      <w:r>
        <w:rPr>
          <w:rFonts w:ascii="Aptos" w:hAnsi="Aptos"/>
        </w:rPr>
        <w:t>Evidence of assessment and internal verification/moderation must be available for audit by the Quality Team and relevant external bodies.</w:t>
      </w:r>
    </w:p>
    <w:p>
      <w:pPr>
        <w:pStyle w:val="ListBullet"/>
        <w:spacing w:after="50"/>
      </w:pPr>
      <w:r>
        <w:rPr>
          <w:rFonts w:ascii="Aptos" w:hAnsi="Aptos"/>
        </w:rPr>
        <w:t>The Quality Manager will review this policy at least annually on 21 January and sooner where there is a material change to Awarding Organisation, apprenticeship Assessment Organisation, legacy EPAO, JCQ, Ofqual, DWP, Skills England or other applicable requirements, assessment practice, regulation, technology or identified risk.</w:t>
      </w:r>
    </w:p>
    <w:p>
      <w:pPr>
        <w:pStyle w:val="ListBullet"/>
        <w:spacing w:after="50"/>
      </w:pPr>
      <w:r>
        <w:rPr>
          <w:rFonts w:ascii="Aptos" w:hAnsi="Aptos"/>
        </w:rPr>
        <w:t>AI controls and approved tools will be reviewed regularly because AI capabilities, availability and risk profiles change quickly.</w:t>
      </w:r>
    </w:p>
    <w:p>
      <w:pPr>
        <w:pStyle w:val="ListBullet"/>
        <w:spacing w:after="50"/>
      </w:pPr>
      <w:r>
        <w:rPr>
          <w:rFonts w:ascii="Aptos" w:hAnsi="Aptos"/>
        </w:rPr>
        <w:t>The review will consider investigation trends, appeals, external quality assurance feedback, learner/staff feedback, digital security incidents and the effectiveness of preventative training/guidance.</w:t>
      </w:r>
    </w:p>
    <w:p>
      <w:pPr>
        <w:pStyle w:val="ListBullet"/>
        <w:spacing w:after="50"/>
      </w:pPr>
      <w:r>
        <w:rPr>
          <w:rFonts w:ascii="Aptos" w:hAnsi="Aptos"/>
        </w:rPr>
        <w:t>Staff competence will be refreshed where new AI capabilities, assessment methods, detection limitations, cyber-security threats or data-protection requirements materially affect practice.</w:t>
      </w:r>
    </w:p>
    <w:p>
      <w:pPr>
        <w:pStyle w:val="ListBullet"/>
        <w:spacing w:after="50"/>
      </w:pPr>
      <w:r>
        <w:rPr>
          <w:rFonts w:ascii="Aptos" w:hAnsi="Aptos"/>
        </w:rPr>
        <w:t>Where a new AI use case cannot be adequately controlled without undermining assessment validity, Qualia Academy will reconsider the assessment method, conditions or use of the tool.</w:t>
      </w:r>
    </w:p>
    <w:p>
      <w:pPr>
        <w:pStyle w:val="Heading1"/>
      </w:pPr>
      <w:r>
        <w:rPr>
          <w:rFonts w:ascii="Aptos" w:hAnsi="Aptos"/>
          <w:b/>
          <w:color w:val="764689"/>
        </w:rPr>
        <w:t>13. Associated Documents and External Requirements</w:t>
      </w:r>
    </w:p>
    <w:p>
      <w:pPr>
        <w:spacing w:after="100" w:line="259" w:lineRule="auto"/>
      </w:pPr>
      <w:r>
        <w:rPr>
          <w:rFonts w:ascii="Aptos" w:hAnsi="Aptos"/>
          <w:i w:val="0"/>
        </w:rPr>
        <w:t>This policy should be read alongside the following Qualia Academy and external requirements, as applicable. The most current version must be used for live cases.</w:t>
      </w:r>
    </w:p>
    <w:p>
      <w:pPr>
        <w:pStyle w:val="ListBullet"/>
        <w:spacing w:after="50"/>
      </w:pPr>
      <w:r>
        <w:rPr>
          <w:rFonts w:ascii="Aptos" w:hAnsi="Aptos"/>
        </w:rPr>
        <w:t>Qualia Academy Quality Assurance Framework.</w:t>
      </w:r>
    </w:p>
    <w:p>
      <w:pPr>
        <w:pStyle w:val="ListBullet"/>
        <w:spacing w:after="50"/>
      </w:pPr>
      <w:r>
        <w:rPr>
          <w:rFonts w:ascii="Aptos" w:hAnsi="Aptos"/>
        </w:rPr>
        <w:t>Assessment and Academic Appeals Procedure.</w:t>
      </w:r>
    </w:p>
    <w:p>
      <w:pPr>
        <w:pStyle w:val="ListBullet"/>
        <w:spacing w:after="50"/>
      </w:pPr>
      <w:r>
        <w:rPr>
          <w:rFonts w:ascii="Aptos" w:hAnsi="Aptos"/>
        </w:rPr>
        <w:t>Learner / Student Disciplinary Procedure.</w:t>
      </w:r>
    </w:p>
    <w:p>
      <w:pPr>
        <w:pStyle w:val="ListBullet"/>
        <w:spacing w:after="50"/>
      </w:pPr>
      <w:r>
        <w:rPr>
          <w:rFonts w:ascii="Aptos" w:hAnsi="Aptos"/>
        </w:rPr>
        <w:t>Staff Disciplinary Procedure.</w:t>
      </w:r>
    </w:p>
    <w:p>
      <w:pPr>
        <w:pStyle w:val="ListBullet"/>
        <w:spacing w:after="50"/>
      </w:pPr>
      <w:r>
        <w:rPr>
          <w:rFonts w:ascii="Aptos" w:hAnsi="Aptos"/>
        </w:rPr>
        <w:t>Complaints Policy.</w:t>
      </w:r>
    </w:p>
    <w:p>
      <w:pPr>
        <w:pStyle w:val="ListBullet"/>
        <w:spacing w:after="50"/>
      </w:pPr>
      <w:r>
        <w:rPr>
          <w:rFonts w:ascii="Aptos" w:hAnsi="Aptos"/>
        </w:rPr>
        <w:t>Whistleblowing Policy.</w:t>
      </w:r>
    </w:p>
    <w:p>
      <w:pPr>
        <w:pStyle w:val="ListBullet"/>
        <w:spacing w:after="50"/>
      </w:pPr>
      <w:r>
        <w:rPr>
          <w:rFonts w:ascii="Aptos" w:hAnsi="Aptos"/>
        </w:rPr>
        <w:t>Conflict of Interest Policy.</w:t>
      </w:r>
    </w:p>
    <w:p>
      <w:pPr>
        <w:pStyle w:val="ListBullet"/>
        <w:spacing w:after="50"/>
      </w:pPr>
      <w:r>
        <w:rPr>
          <w:rFonts w:ascii="Aptos" w:hAnsi="Aptos"/>
        </w:rPr>
        <w:t>Equality, Diversity and Inclusion Policy.</w:t>
      </w:r>
    </w:p>
    <w:p>
      <w:pPr>
        <w:pStyle w:val="ListBullet"/>
        <w:spacing w:after="50"/>
      </w:pPr>
      <w:r>
        <w:rPr>
          <w:rFonts w:ascii="Aptos" w:hAnsi="Aptos"/>
        </w:rPr>
        <w:t>Data protection, information security, cyber-security and acceptable-use requirements relevant to digital and AI tools.</w:t>
      </w:r>
    </w:p>
    <w:p>
      <w:pPr>
        <w:pStyle w:val="ListBullet"/>
        <w:spacing w:after="50"/>
      </w:pPr>
      <w:r>
        <w:rPr>
          <w:rFonts w:ascii="Aptos" w:hAnsi="Aptos"/>
        </w:rPr>
        <w:t>Relevant Awarding Organisation investigation, assessment, authentication and malpractice requirements.</w:t>
      </w:r>
    </w:p>
    <w:p>
      <w:pPr>
        <w:pStyle w:val="ListBullet"/>
        <w:spacing w:after="50"/>
      </w:pPr>
      <w:r>
        <w:rPr>
          <w:rFonts w:ascii="Aptos" w:hAnsi="Aptos"/>
        </w:rPr>
        <w:t>Relevant apprenticeship Assessment Organisation requirements and, during transition, applicable legacy EPAO investigation and assessment requirements.</w:t>
      </w:r>
    </w:p>
    <w:p>
      <w:pPr>
        <w:pStyle w:val="ListBullet"/>
        <w:spacing w:after="50"/>
      </w:pPr>
      <w:r>
        <w:rPr>
          <w:rFonts w:ascii="Aptos" w:hAnsi="Aptos"/>
        </w:rPr>
        <w:t>Ofqual General Conditions of Recognition, including current requirements concerning risk, assessment validity, security and the prevention, investigation and management of malpractice/maladministration.</w:t>
      </w:r>
    </w:p>
    <w:p>
      <w:pPr>
        <w:pStyle w:val="ListBullet"/>
      </w:pPr>
      <w:r>
        <w:rPr>
          <w:rFonts w:ascii="Aptos" w:hAnsi="Aptos"/>
        </w:rPr>
        <w:t>Ofqual: Artificial intelligence malpractice and assessment - advice note, published 27 April 2026.</w:t>
      </w:r>
    </w:p>
    <w:p>
      <w:pPr>
        <w:pStyle w:val="ListBullet"/>
      </w:pPr>
      <w:r>
        <w:rPr>
          <w:rFonts w:ascii="Aptos" w:hAnsi="Aptos"/>
        </w:rPr>
        <w:t>Ofqual: Ofqual's approach to regulating the use of artificial intelligence in the qualifications sector, updated 16 July 2026.</w:t>
      </w:r>
    </w:p>
    <w:p>
      <w:pPr>
        <w:pStyle w:val="ListBullet"/>
      </w:pPr>
      <w:r>
        <w:rPr>
          <w:rFonts w:ascii="Aptos" w:hAnsi="Aptos"/>
        </w:rPr>
        <w:t>Ofqual: Apprenticeship Assessment Qualification Level Conditions and requirements, and Apprenticeship Assessment Qualification Level Guidance, effective from 1 April 2026.</w:t>
      </w:r>
    </w:p>
    <w:p>
      <w:pPr>
        <w:pStyle w:val="ListBullet"/>
      </w:pPr>
      <w:r>
        <w:rPr>
          <w:rFonts w:ascii="Aptos" w:hAnsi="Aptos"/>
        </w:rPr>
        <w:t>Skills England: Requirements for Apprenticeship Assessment, published 19 June 2026, together with the applicable Apprenticeship Assessment Plan for each apprentice.</w:t>
      </w:r>
    </w:p>
    <w:p>
      <w:pPr>
        <w:pStyle w:val="ListBullet"/>
      </w:pPr>
      <w:r>
        <w:rPr>
          <w:rFonts w:ascii="Aptos" w:hAnsi="Aptos"/>
        </w:rPr>
        <w:t>Department for Work and Pensions: current apprenticeship funding rules and assessment-plan guidance applying to the apprentice's start date. Responsibility for apprenticeship funding guidance moved to DWP on 1 April 2026.</w:t>
      </w:r>
    </w:p>
    <w:p>
      <w:pPr>
        <w:pStyle w:val="ListBullet"/>
        <w:spacing w:after="50"/>
      </w:pPr>
      <w:r>
        <w:rPr>
          <w:rFonts w:ascii="Aptos" w:hAnsi="Aptos"/>
        </w:rPr>
        <w:t>Ofqual Guidance on Malpractice and Maladministration (expanded guidance published November 2021).</w:t>
      </w:r>
    </w:p>
    <w:p>
      <w:pPr>
        <w:pStyle w:val="ListBullet"/>
        <w:spacing w:after="50"/>
      </w:pPr>
      <w:r>
        <w:rPr>
          <w:rFonts w:ascii="Aptos" w:hAnsi="Aptos"/>
        </w:rPr>
        <w:t>JCQ AI Use in Assessments: Your Role in Protecting the Integrity of Qualifications, using the current published version and current assessment-year support materials.</w:t>
      </w:r>
    </w:p>
    <w:p>
      <w:pPr>
        <w:pStyle w:val="ListBullet"/>
        <w:spacing w:after="50"/>
      </w:pPr>
      <w:r>
        <w:rPr>
          <w:rFonts w:ascii="Aptos" w:hAnsi="Aptos"/>
        </w:rPr>
        <w:t>JCQ General Regulations for Approved Centres, Suspected Malpractice: Policies and Procedures, Instructions for Conducting Examinations, Instructions for Conducting Coursework and Instructions for Conducting Non-Examination Assessments for the relevant assessment year, where applicable.</w:t>
      </w:r>
    </w:p>
    <w:p>
      <w:pPr>
        <w:pStyle w:val="ListBullet"/>
        <w:spacing w:after="50"/>
      </w:pPr>
      <w:r>
        <w:rPr>
          <w:rFonts w:ascii="Aptos" w:hAnsi="Aptos"/>
        </w:rPr>
        <w:t>Department for Education: Generative artificial intelligence (AI) in education - current policy and guidance.</w:t>
      </w:r>
    </w:p>
    <w:p>
      <w:pPr>
        <w:pStyle w:val="ListBullet"/>
        <w:spacing w:after="50"/>
      </w:pPr>
      <w:r>
        <w:rPr>
          <w:rFonts w:ascii="Aptos" w:hAnsi="Aptos"/>
        </w:rPr>
        <w:t>Department for Education: Generative AI Product Safety Standards, updated 19 January 2026, used as a proportionate benchmark when selecting learner/staff-facing AI products.</w:t>
      </w:r>
    </w:p>
    <w:p>
      <w:pPr>
        <w:pStyle w:val="ListBullet"/>
      </w:pPr>
      <w:r>
        <w:rPr>
          <w:rFonts w:ascii="Aptos" w:hAnsi="Aptos"/>
        </w:rPr>
        <w:t>Keeping Children Safe in Education 2026: where Qualia Academy provides education or training to learners under 18, the 2026 safeguarding guidance must be applied from 1 September 2026; until that date, the version then in force applies. AI, filtering/monitoring, online safety and cyber-security implications must be reflected in relevant safeguarding arrangements.</w:t>
      </w:r>
    </w:p>
    <w:p>
      <w:pPr>
        <w:pStyle w:val="ListBullet"/>
        <w:spacing w:after="50"/>
      </w:pPr>
      <w:r>
        <w:rPr>
          <w:rFonts w:ascii="Aptos" w:hAnsi="Aptos"/>
        </w:rPr>
        <w:t>Information Commissioner’s Office guidance on AI, data protection, Data Protection Impact Assessments and automated decision-making, together with current UK data-protection legislation.</w:t>
      </w:r>
    </w:p>
    <w:p>
      <w:pPr>
        <w:pStyle w:val="ListBullet"/>
        <w:spacing w:after="50"/>
      </w:pPr>
      <w:r>
        <w:rPr>
          <w:rFonts w:ascii="Aptos" w:hAnsi="Aptos"/>
        </w:rPr>
        <w:t>Data Protection Act 2018 and UK GDPR as amended by the Data (Use and Access) Act 2025; all provisions of the DUAA affecting data-protection law were commenced by 19 June 2026.</w:t>
      </w:r>
    </w:p>
    <w:p>
      <w:pPr>
        <w:pStyle w:val="ListBullet"/>
        <w:spacing w:after="50"/>
      </w:pPr>
      <w:r>
        <w:rPr>
          <w:rFonts w:ascii="Aptos" w:hAnsi="Aptos"/>
        </w:rPr>
        <w:t>Copyright, Designs and Patents Act 1988 and other applicable intellectual-property requirements.</w:t>
      </w:r>
    </w:p>
    <w:p>
      <w:pPr>
        <w:pStyle w:val="Heading2"/>
      </w:pPr>
      <w:r>
        <w:rPr>
          <w:rFonts w:ascii="Aptos" w:hAnsi="Aptos"/>
          <w:b/>
          <w:color w:val="2D3F98"/>
        </w:rPr>
        <w:t>13.1 Legacy References Retained for Historic Traceability</w:t>
      </w:r>
    </w:p>
    <w:p>
      <w:pPr>
        <w:spacing w:after="100" w:line="259" w:lineRule="auto"/>
      </w:pPr>
      <w:r>
        <w:rPr>
          <w:rFonts w:ascii="Aptos" w:hAnsi="Aptos"/>
          <w:i w:val="0"/>
        </w:rPr>
        <w:t>The previous Qualia Academy policy contained the following references. They are retained for document continuity only; current requirements must be used for live cases:</w:t>
      </w:r>
    </w:p>
    <w:p>
      <w:pPr>
        <w:pStyle w:val="ListBullet"/>
        <w:spacing w:after="50"/>
      </w:pPr>
      <w:r>
        <w:rPr>
          <w:rFonts w:ascii="Aptos" w:hAnsi="Aptos"/>
        </w:rPr>
        <w:t>Ofqual/Welsh Government General Conditions of Recognition (Nov 2012).</w:t>
      </w:r>
    </w:p>
    <w:p>
      <w:pPr>
        <w:pStyle w:val="ListBullet"/>
        <w:spacing w:after="50"/>
      </w:pPr>
      <w:r>
        <w:rPr>
          <w:rFonts w:ascii="Aptos" w:hAnsi="Aptos"/>
        </w:rPr>
        <w:t>NVQ Code of Practice 2006 (qualifications in the NQF).</w:t>
      </w:r>
    </w:p>
    <w:p>
      <w:pPr>
        <w:pStyle w:val="ListBullet"/>
        <w:spacing w:after="50"/>
      </w:pPr>
      <w:r>
        <w:rPr>
          <w:rFonts w:ascii="Aptos" w:hAnsi="Aptos"/>
        </w:rPr>
        <w:t>Ofqual: Dealing with significant cases of suspected malpractice by those involved with the delivery of qualifications (2006).</w:t>
      </w:r>
    </w:p>
    <w:p>
      <w:pPr>
        <w:pStyle w:val="ListBullet"/>
        <w:spacing w:after="50"/>
      </w:pPr>
      <w:r>
        <w:rPr>
          <w:rFonts w:ascii="Aptos" w:hAnsi="Aptos"/>
        </w:rPr>
        <w:t>Regulatory principles of the Qualifications and Credit Framework (2008).</w:t>
      </w:r>
    </w:p>
    <w:p>
      <w:pPr>
        <w:pStyle w:val="Heading1"/>
      </w:pPr>
      <w:r>
        <w:rPr>
          <w:rFonts w:ascii="Aptos" w:hAnsi="Aptos"/>
          <w:b/>
          <w:color w:val="764689"/>
        </w:rPr>
        <w:t>14. Learner Acknowledgement</w:t>
      </w:r>
    </w:p>
    <w:p>
      <w:pPr>
        <w:spacing w:after="100" w:line="259" w:lineRule="auto"/>
      </w:pPr>
      <w:r>
        <w:t>Learners may be asked to confirm that they have read and understood this policy, including the rules on plagiarism, collusion, cheating, contract cheating, assessment authenticity and the AI status of assessments relevant to their programme.</w:t>
      </w:r>
    </w:p>
    <w:tbl>
      <w:tblPr>
        <w:tblW w:type="auto" w:w="0"/>
        <w:jc w:val="center"/>
        <w:tblLayout w:type="fixed"/>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005"/>
        <w:gridCol w:w="6633"/>
      </w:tblGrid>
      <w:tr>
        <w:tc>
          <w:tcPr>
            <w:tcW w:type="dxa" w:w="5100"/>
            <w:tcMar>
              <w:top w:w="90" w:type="dxa"/>
              <w:start w:w="90" w:type="dxa"/>
              <w:bottom w:w="90" w:type="dxa"/>
              <w:end w:w="90" w:type="dxa"/>
            </w:tcMar>
            <w:vAlign w:val="center"/>
            <w:shd w:fill="EEE7F1"/>
          </w:tcPr>
          <w:p>
            <w:r>
              <w:rPr>
                <w:rFonts w:ascii="Aptos" w:hAnsi="Aptos"/>
                <w:b/>
                <w:sz w:val="17"/>
              </w:rPr>
              <w:t>Declaration</w:t>
            </w:r>
          </w:p>
        </w:tc>
        <w:tc>
          <w:tcPr>
            <w:tcW w:type="dxa" w:w="5100"/>
            <w:tcMar>
              <w:top w:w="90" w:type="dxa"/>
              <w:start w:w="90" w:type="dxa"/>
              <w:bottom w:w="90" w:type="dxa"/>
              <w:end w:w="90" w:type="dxa"/>
            </w:tcMar>
            <w:vAlign w:val="center"/>
          </w:tcPr>
          <w:p>
            <w:r>
              <w:t>I have read and understood the Qualia Academy Malpractice, Maladministration, Plagiarism and Artificial Intelligence (AI) in Assessment Policy, including the rules on collusion, cheating and assessment authenticity.</w:t>
            </w:r>
          </w:p>
        </w:tc>
      </w:tr>
      <w:tr>
        <w:tc>
          <w:tcPr>
            <w:tcW w:type="dxa" w:w="5100"/>
            <w:tcMar>
              <w:top w:w="90" w:type="dxa"/>
              <w:start w:w="90" w:type="dxa"/>
              <w:bottom w:w="90" w:type="dxa"/>
              <w:end w:w="90" w:type="dxa"/>
            </w:tcMar>
            <w:vAlign w:val="center"/>
            <w:shd w:fill="EEE7F1"/>
          </w:tcPr>
          <w:p>
            <w:r>
              <w:rPr>
                <w:rFonts w:ascii="Aptos" w:hAnsi="Aptos"/>
                <w:b/>
                <w:sz w:val="17"/>
              </w:rPr>
              <w:t>Name</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Signature</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Date</w:t>
            </w:r>
          </w:p>
        </w:tc>
        <w:tc>
          <w:tcPr>
            <w:tcW w:type="dxa" w:w="5100"/>
            <w:tcMar>
              <w:top w:w="90" w:type="dxa"/>
              <w:start w:w="90" w:type="dxa"/>
              <w:bottom w:w="90" w:type="dxa"/>
              <w:end w:w="90" w:type="dxa"/>
            </w:tcMar>
            <w:vAlign w:val="center"/>
          </w:tcPr>
          <w:p>
            <w:r>
              <w:rPr>
                <w:rFonts w:ascii="Aptos" w:hAnsi="Aptos"/>
                <w:b w:val="0"/>
                <w:sz w:val="17"/>
              </w:rPr>
            </w:r>
          </w:p>
        </w:tc>
      </w:tr>
    </w:tbl>
    <w:p>
      <w:pPr>
        <w:pStyle w:val="Heading1"/>
      </w:pPr>
      <w:r>
        <w:rPr>
          <w:rFonts w:ascii="Aptos" w:hAnsi="Aptos"/>
          <w:b/>
          <w:color w:val="764689"/>
        </w:rPr>
        <w:t>Appendix 1 - Actions for Academic Theft / Plagiarism</w:t>
      </w:r>
    </w:p>
    <w:tbl>
      <w:tblPr>
        <w:tblW w:type="auto" w:w="0"/>
        <w:jc w:val="center"/>
        <w:tblLook w:firstColumn="1" w:firstRow="1" w:lastColumn="0" w:lastRow="0" w:noHBand="0" w:noVBand="1" w:val="04A0"/>
        <w:tblBorders>
          <w:top w:val="single" w:sz="6" w:space="0" w:color="C8B8D0"/>
          <w:left w:val="single" w:sz="6" w:space="0" w:color="C8B8D0"/>
          <w:bottom w:val="single" w:sz="6" w:space="0" w:color="C8B8D0"/>
          <w:right w:val="single" w:sz="6" w:space="0" w:color="C8B8D0"/>
          <w:insideH w:val="single" w:sz="6" w:space="0" w:color="C8B8D0"/>
          <w:insideV w:val="single" w:sz="6" w:space="0" w:color="C8B8D0"/>
        </w:tblBorders>
      </w:tblPr>
      <w:tblGrid>
        <w:gridCol w:w="10200"/>
      </w:tblGrid>
      <w:tr>
        <w:tc>
          <w:tcPr>
            <w:tcW w:type="dxa" w:w="10200"/>
            <w:shd w:fill="F7F2F9"/>
            <w:tcMar>
              <w:top w:w="130" w:type="dxa"/>
              <w:start w:w="150" w:type="dxa"/>
              <w:bottom w:w="130" w:type="dxa"/>
              <w:end w:w="150" w:type="dxa"/>
            </w:tcMar>
          </w:tcPr>
          <w:p>
            <w:r>
              <w:t>Awarding Organisations, apprenticeship Assessment Organisations and legacy End Point Assessment Organisations follow their own policies and requirements. Where those rules differ, their requirements supersede the internal Qualia Academy sanction framework for the relevant assessment or qualification.</w:t>
            </w:r>
          </w:p>
        </w:tc>
      </w:tr>
    </w:tbl>
    <w:p>
      <w:pPr>
        <w:spacing w:after="0"/>
      </w:pPr>
    </w:p>
    <w:p>
      <w:pPr>
        <w:spacing w:after="100" w:line="259" w:lineRule="auto"/>
      </w:pPr>
      <w:r>
        <w:rPr>
          <w:rFonts w:ascii="Aptos" w:hAnsi="Aptos"/>
          <w:i w:val="0"/>
        </w:rPr>
        <w:t>The following framework retains the substantive information contained in the previous Qualia Academy Academic Theft appendix. Decisions must be fair, proportionate and tailored to the circumstances within reason.</w:t>
      </w:r>
    </w:p>
    <w:p>
      <w:pPr/>
      <w:r>
        <w:rPr>
          <w:rFonts w:ascii="Aptos" w:hAnsi="Aptos"/>
        </w:rPr>
        <w:t>The percentage-based examples below relate specifically to plagiarism/academic theft. Collusion, cheating, contract cheating, personation, unauthorised materials and other malpractice are assessed under section 9.1 and the applicable external body rules rather than being forced into plagiarism percentage thresholds.</w:t>
      </w:r>
    </w:p>
    <w:tbl>
      <w:tblPr>
        <w:tblW w:type="auto" w:w="0"/>
        <w:jc w:val="center"/>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400"/>
        <w:gridCol w:w="3400"/>
        <w:gridCol w:w="3400"/>
      </w:tblGrid>
      <w:tr>
        <w:trPr>
          <w:tblHeader w:val="true"/>
        </w:trPr>
        <w:tc>
          <w:tcPr>
            <w:tcW w:type="dxa" w:w="3400"/>
            <w:shd w:fill="EEE7F1"/>
            <w:tcMar>
              <w:top w:w="90" w:type="dxa"/>
              <w:start w:w="90" w:type="dxa"/>
              <w:bottom w:w="90" w:type="dxa"/>
              <w:end w:w="90" w:type="dxa"/>
            </w:tcMar>
          </w:tcPr>
          <w:p>
            <w:r>
              <w:rPr>
                <w:rFonts w:ascii="Aptos" w:hAnsi="Aptos"/>
                <w:b/>
                <w:sz w:val="16"/>
              </w:rPr>
              <w:t>Severity / type of offence</w:t>
            </w:r>
          </w:p>
        </w:tc>
        <w:tc>
          <w:tcPr>
            <w:tcW w:type="dxa" w:w="3400"/>
            <w:shd w:fill="EEE7F1"/>
            <w:tcMar>
              <w:top w:w="90" w:type="dxa"/>
              <w:start w:w="90" w:type="dxa"/>
              <w:bottom w:w="90" w:type="dxa"/>
              <w:end w:w="90" w:type="dxa"/>
            </w:tcMar>
          </w:tcPr>
          <w:p>
            <w:r>
              <w:rPr>
                <w:rFonts w:ascii="Aptos" w:hAnsi="Aptos"/>
                <w:b/>
                <w:sz w:val="16"/>
              </w:rPr>
              <w:t>Description</w:t>
            </w:r>
          </w:p>
        </w:tc>
        <w:tc>
          <w:tcPr>
            <w:tcW w:type="dxa" w:w="3400"/>
            <w:shd w:fill="EEE7F1"/>
            <w:tcMar>
              <w:top w:w="90" w:type="dxa"/>
              <w:start w:w="90" w:type="dxa"/>
              <w:bottom w:w="90" w:type="dxa"/>
              <w:end w:w="90" w:type="dxa"/>
            </w:tcMar>
          </w:tcPr>
          <w:p>
            <w:r>
              <w:rPr>
                <w:rFonts w:ascii="Aptos" w:hAnsi="Aptos"/>
                <w:b/>
                <w:sz w:val="16"/>
              </w:rPr>
              <w:t>Action</w:t>
            </w:r>
          </w:p>
        </w:tc>
      </w:tr>
      <w:tr>
        <w:trPr>
          <w:cantSplit/>
        </w:trPr>
        <w:tc>
          <w:tcPr>
            <w:tcW w:type="dxa" w:w="3400"/>
            <w:tcMar>
              <w:top w:w="70" w:type="dxa"/>
              <w:start w:w="70" w:type="dxa"/>
              <w:bottom w:w="70" w:type="dxa"/>
              <w:end w:w="70" w:type="dxa"/>
            </w:tcMar>
          </w:tcPr>
          <w:p>
            <w:r>
              <w:rPr>
                <w:rFonts w:ascii="Aptos" w:hAnsi="Aptos"/>
                <w:b/>
                <w:sz w:val="15"/>
              </w:rPr>
              <w:t>First offence in the first semester / initial stage of the first year - poor academic practice</w:t>
            </w:r>
          </w:p>
        </w:tc>
        <w:tc>
          <w:tcPr>
            <w:tcW w:type="dxa" w:w="3400"/>
            <w:tcMar>
              <w:top w:w="70" w:type="dxa"/>
              <w:start w:w="70" w:type="dxa"/>
              <w:bottom w:w="70" w:type="dxa"/>
              <w:end w:w="70" w:type="dxa"/>
            </w:tcMar>
          </w:tcPr>
          <w:p>
            <w:r>
              <w:rPr>
                <w:rFonts w:ascii="Aptos" w:hAnsi="Aptos"/>
                <w:b w:val="0"/>
                <w:sz w:val="15"/>
              </w:rPr>
              <w:t>Cause for concern that published work has been used and not referenced. Work has been copied from published work, but less than 50% is copied. Poor referencing.</w:t>
            </w:r>
          </w:p>
        </w:tc>
        <w:tc>
          <w:tcPr>
            <w:tcW w:type="dxa" w:w="3400"/>
            <w:tcMar>
              <w:top w:w="70" w:type="dxa"/>
              <w:start w:w="70" w:type="dxa"/>
              <w:bottom w:w="70" w:type="dxa"/>
              <w:end w:w="70" w:type="dxa"/>
            </w:tcMar>
          </w:tcPr>
          <w:p>
            <w:r>
              <w:rPr>
                <w:rFonts w:ascii="Aptos" w:hAnsi="Aptos"/>
                <w:b w:val="0"/>
                <w:sz w:val="15"/>
              </w:rPr>
              <w:t>No disciplinary penalty. Learner to book a referencing session with tutor and mentor. Action recorded on the learner progress file to improve referencing. Treated as poor academic work rather than academic theft. Work fails and must be resubmitted after the referencing session. Normal resubmission rules apply.</w:t>
            </w:r>
          </w:p>
        </w:tc>
      </w:tr>
      <w:tr>
        <w:trPr>
          <w:cantSplit/>
        </w:trPr>
        <w:tc>
          <w:tcPr>
            <w:tcW w:type="dxa" w:w="3400"/>
            <w:tcMar>
              <w:top w:w="70" w:type="dxa"/>
              <w:start w:w="70" w:type="dxa"/>
              <w:bottom w:w="70" w:type="dxa"/>
              <w:end w:w="70" w:type="dxa"/>
            </w:tcMar>
          </w:tcPr>
          <w:p>
            <w:r>
              <w:rPr>
                <w:rFonts w:ascii="Aptos" w:hAnsi="Aptos"/>
                <w:b/>
                <w:sz w:val="15"/>
              </w:rPr>
              <w:t>First offence - large amount copied but under 50%</w:t>
            </w:r>
          </w:p>
        </w:tc>
        <w:tc>
          <w:tcPr>
            <w:tcW w:type="dxa" w:w="3400"/>
            <w:tcMar>
              <w:top w:w="70" w:type="dxa"/>
              <w:start w:w="70" w:type="dxa"/>
              <w:bottom w:w="70" w:type="dxa"/>
              <w:end w:w="70" w:type="dxa"/>
            </w:tcMar>
          </w:tcPr>
          <w:p>
            <w:r>
              <w:rPr>
                <w:rFonts w:ascii="Aptos" w:hAnsi="Aptos"/>
                <w:b w:val="0"/>
                <w:sz w:val="15"/>
              </w:rPr>
              <w:t>Large chunks of submitted work are highlighted by Turnitin/similarity checking or otherwise identified by the marker as copied, for example from a known written source. Highlighted work is not referenced and may not be included in the bibliography.</w:t>
            </w:r>
          </w:p>
        </w:tc>
        <w:tc>
          <w:tcPr>
            <w:tcW w:type="dxa" w:w="3400"/>
            <w:tcMar>
              <w:top w:w="70" w:type="dxa"/>
              <w:start w:w="70" w:type="dxa"/>
              <w:bottom w:w="70" w:type="dxa"/>
              <w:end w:w="70" w:type="dxa"/>
            </w:tcMar>
          </w:tcPr>
          <w:p>
            <w:r>
              <w:t>Interview with course leader and manager (Quality Lead and Principal) and written warning issued. Recorded on learner progress file. Learner to book a referencing session with tutor and/or mentor. Work to be resubmitted but capped at a pass, subject to applicable AO / apprenticeship Assessment Organisation / legacy EPAO rules.</w:t>
            </w:r>
          </w:p>
        </w:tc>
      </w:tr>
      <w:tr>
        <w:trPr>
          <w:cantSplit/>
        </w:trPr>
        <w:tc>
          <w:tcPr>
            <w:tcW w:type="dxa" w:w="3400"/>
            <w:tcMar>
              <w:top w:w="70" w:type="dxa"/>
              <w:start w:w="70" w:type="dxa"/>
              <w:bottom w:w="70" w:type="dxa"/>
              <w:end w:w="70" w:type="dxa"/>
            </w:tcMar>
          </w:tcPr>
          <w:p>
            <w:r>
              <w:rPr>
                <w:rFonts w:ascii="Aptos" w:hAnsi="Aptos"/>
                <w:b/>
                <w:sz w:val="15"/>
              </w:rPr>
              <w:t>Large amount copied - more than 50%, or second offence of lower amount</w:t>
            </w:r>
          </w:p>
        </w:tc>
        <w:tc>
          <w:tcPr>
            <w:tcW w:type="dxa" w:w="3400"/>
            <w:tcMar>
              <w:top w:w="70" w:type="dxa"/>
              <w:start w:w="70" w:type="dxa"/>
              <w:bottom w:w="70" w:type="dxa"/>
              <w:end w:w="70" w:type="dxa"/>
            </w:tcMar>
          </w:tcPr>
          <w:p>
            <w:r>
              <w:rPr>
                <w:rFonts w:ascii="Aptos" w:hAnsi="Aptos"/>
                <w:b w:val="0"/>
                <w:sz w:val="15"/>
              </w:rPr>
              <w:t>High counts of similarity or other evidence of copying from published work or another learner’s work. Large chunks are identified as copied and are not referenced and/or not included in the bibliography.</w:t>
            </w:r>
          </w:p>
        </w:tc>
        <w:tc>
          <w:tcPr>
            <w:tcW w:type="dxa" w:w="3400"/>
            <w:tcMar>
              <w:top w:w="70" w:type="dxa"/>
              <w:start w:w="70" w:type="dxa"/>
              <w:bottom w:w="70" w:type="dxa"/>
              <w:end w:w="70" w:type="dxa"/>
            </w:tcMar>
          </w:tcPr>
          <w:p>
            <w:r>
              <w:rPr>
                <w:rFonts w:ascii="Aptos" w:hAnsi="Aptos"/>
                <w:b w:val="0"/>
                <w:sz w:val="15"/>
              </w:rPr>
              <w:t>Interview with course leader and manager (Quality Lead and Principal) and written warning issued. Recorded on learner progress file. Learner to attend referencing support and complete a 500-word reflective report on how to improve academic referencing, highlighting issues in their own work, within 3 working weeks of the written warning. A fail is recorded. Learner must write a new assignment in the retrieval/resubmission period, capped at a pass, subject to applicable programme rules.</w:t>
            </w:r>
          </w:p>
        </w:tc>
      </w:tr>
      <w:tr>
        <w:trPr>
          <w:cantSplit/>
        </w:trPr>
        <w:tc>
          <w:tcPr>
            <w:tcW w:type="dxa" w:w="3400"/>
            <w:tcMar>
              <w:top w:w="70" w:type="dxa"/>
              <w:start w:w="70" w:type="dxa"/>
              <w:bottom w:w="70" w:type="dxa"/>
              <w:end w:w="70" w:type="dxa"/>
            </w:tcMar>
          </w:tcPr>
          <w:p>
            <w:r>
              <w:rPr>
                <w:rFonts w:ascii="Aptos" w:hAnsi="Aptos"/>
                <w:b/>
                <w:sz w:val="15"/>
              </w:rPr>
              <w:t>100% of an assignment copied and falsely submitted as the learner’s own work, or repeat offender more than twice where more than 50% has been copied</w:t>
            </w:r>
          </w:p>
        </w:tc>
        <w:tc>
          <w:tcPr>
            <w:tcW w:type="dxa" w:w="3400"/>
            <w:tcMar>
              <w:top w:w="70" w:type="dxa"/>
              <w:start w:w="70" w:type="dxa"/>
              <w:bottom w:w="70" w:type="dxa"/>
              <w:end w:w="70" w:type="dxa"/>
            </w:tcMar>
          </w:tcPr>
          <w:p>
            <w:r>
              <w:rPr>
                <w:rFonts w:ascii="Aptos" w:hAnsi="Aptos"/>
                <w:b w:val="0"/>
                <w:sz w:val="15"/>
              </w:rPr>
              <w:t>Marker identifies 100% copied work, substantiated through investigation by the course leader and manager (Quality Lead and Principal), or the learner is a third-time offender of academic theft.</w:t>
            </w:r>
          </w:p>
        </w:tc>
        <w:tc>
          <w:tcPr>
            <w:tcW w:type="dxa" w:w="3400"/>
            <w:tcMar>
              <w:top w:w="70" w:type="dxa"/>
              <w:start w:w="70" w:type="dxa"/>
              <w:bottom w:w="70" w:type="dxa"/>
              <w:end w:w="70" w:type="dxa"/>
            </w:tcMar>
          </w:tcPr>
          <w:p>
            <w:r>
              <w:t>Disciplinary hearing under the Academy’s disciplinary process. Outcome may include expulsion/removal from the course, subject to applicable AO / apprenticeship Assessment Organisation / legacy EPAO rules.</w:t>
            </w:r>
          </w:p>
        </w:tc>
      </w:tr>
      <w:tr>
        <w:trPr>
          <w:cantSplit/>
        </w:trPr>
        <w:tc>
          <w:tcPr>
            <w:tcW w:type="dxa" w:w="3400"/>
            <w:tcMar>
              <w:top w:w="70" w:type="dxa"/>
              <w:start w:w="70" w:type="dxa"/>
              <w:bottom w:w="70" w:type="dxa"/>
              <w:end w:w="70" w:type="dxa"/>
            </w:tcMar>
          </w:tcPr>
          <w:p>
            <w:r>
              <w:rPr>
                <w:rFonts w:ascii="Aptos" w:hAnsi="Aptos"/>
                <w:b/>
                <w:sz w:val="15"/>
              </w:rPr>
              <w:t>Commercial training - theft of images or footage to fraudulently complete practical assessment</w:t>
            </w:r>
          </w:p>
        </w:tc>
        <w:tc>
          <w:tcPr>
            <w:tcW w:type="dxa" w:w="3400"/>
            <w:tcMar>
              <w:top w:w="70" w:type="dxa"/>
              <w:start w:w="70" w:type="dxa"/>
              <w:bottom w:w="70" w:type="dxa"/>
              <w:end w:w="70" w:type="dxa"/>
            </w:tcMar>
          </w:tcPr>
          <w:p>
            <w:r>
              <w:rPr>
                <w:rFonts w:ascii="Aptos" w:hAnsi="Aptos"/>
                <w:b w:val="0"/>
                <w:sz w:val="15"/>
              </w:rPr>
              <w:t>The work is not authentic and the learner does not demonstrate commercial competency. The insurance for practice could be void due to the required skill set not being demonstrated and there is a high risk of harm to professional reputation.</w:t>
            </w:r>
          </w:p>
        </w:tc>
        <w:tc>
          <w:tcPr>
            <w:tcW w:type="dxa" w:w="3400"/>
            <w:tcMar>
              <w:top w:w="70" w:type="dxa"/>
              <w:start w:w="70" w:type="dxa"/>
              <w:bottom w:w="70" w:type="dxa"/>
              <w:end w:w="70" w:type="dxa"/>
            </w:tcMar>
          </w:tcPr>
          <w:p>
            <w:r>
              <w:t>A fail is recorded. Learner must resubmit with a 1,000-word assignment outlining the potential risks and business impact, including health and safety and copyright infringement outcomes. A pass is required to continue to the second practical. A second submission must include video showing the treatments being performed. An additional fee of 25% of the course costs applies to cover administration, subject to the current terms of enrolment and applicable AO / apprenticeship Assessment Organisation / legacy EPAO rules.</w:t>
            </w:r>
          </w:p>
        </w:tc>
      </w:tr>
    </w:tbl>
    <w:p>
      <w:pPr>
        <w:pStyle w:val="Heading1"/>
      </w:pPr>
      <w:r>
        <w:rPr>
          <w:rFonts w:ascii="Aptos" w:hAnsi="Aptos"/>
          <w:b/>
          <w:color w:val="764689"/>
        </w:rPr>
        <w:t>Appendix 2 - AI Use Declaration</w:t>
      </w:r>
    </w:p>
    <w:p>
      <w:pPr>
        <w:spacing w:after="100" w:line="259" w:lineRule="auto"/>
      </w:pPr>
      <w:r>
        <w:rPr>
          <w:rFonts w:ascii="Aptos" w:hAnsi="Aptos"/>
        </w:rPr>
        <w:t>Use this declaration where an assessment permits AI and disclosure is required. Where an AO / apprenticeship Assessment Organisation / legacy EPAO provides its own mandatory form, that form takes precedence.</w:t>
      </w:r>
    </w:p>
    <w:tbl>
      <w:tblPr>
        <w:tblW w:type="auto" w:w="0"/>
        <w:jc w:val="center"/>
        <w:tblLayout w:type="fixed"/>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005"/>
        <w:gridCol w:w="6633"/>
      </w:tblGrid>
      <w:tr>
        <w:tc>
          <w:tcPr>
            <w:tcW w:type="dxa" w:w="5100"/>
            <w:tcMar>
              <w:top w:w="90" w:type="dxa"/>
              <w:start w:w="90" w:type="dxa"/>
              <w:bottom w:w="90" w:type="dxa"/>
              <w:end w:w="90" w:type="dxa"/>
            </w:tcMar>
            <w:vAlign w:val="center"/>
            <w:shd w:fill="EEE7F1"/>
          </w:tcPr>
          <w:p>
            <w:r>
              <w:rPr>
                <w:rFonts w:ascii="Aptos" w:hAnsi="Aptos"/>
                <w:b/>
                <w:sz w:val="17"/>
              </w:rPr>
              <w:t>Learner name</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Programme / course</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Assessment / unit</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AI tool(s) and model/version used</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Date(s) used</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Purpose of use</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Prompt(s) / instruction summary</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What the AI contributed</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How I checked, edited, challenged or referenced the output</w:t>
            </w:r>
          </w:p>
        </w:tc>
        <w:tc>
          <w:tcPr>
            <w:tcW w:type="dxa" w:w="5100"/>
            <w:tcMar>
              <w:top w:w="90" w:type="dxa"/>
              <w:start w:w="90" w:type="dxa"/>
              <w:bottom w:w="90" w:type="dxa"/>
              <w:end w:w="90" w:type="dxa"/>
            </w:tcMar>
            <w:vAlign w:val="center"/>
          </w:tcPr>
          <w:p>
            <w:r>
              <w:rPr>
                <w:rFonts w:ascii="Aptos" w:hAnsi="Aptos"/>
                <w:b w:val="0"/>
                <w:sz w:val="17"/>
              </w:rPr>
            </w:r>
          </w:p>
        </w:tc>
      </w:tr>
      <w:tr>
        <w:tc>
          <w:tcPr>
            <w:tcW w:type="dxa" w:w="5100"/>
            <w:tcMar>
              <w:top w:w="90" w:type="dxa"/>
              <w:start w:w="90" w:type="dxa"/>
              <w:bottom w:w="90" w:type="dxa"/>
              <w:end w:w="90" w:type="dxa"/>
            </w:tcMar>
            <w:vAlign w:val="center"/>
            <w:shd w:fill="EEE7F1"/>
          </w:tcPr>
          <w:p>
            <w:r>
              <w:rPr>
                <w:rFonts w:ascii="Aptos" w:hAnsi="Aptos"/>
                <w:b/>
                <w:sz w:val="17"/>
              </w:rPr>
              <w:t>Prompt/output evidence attached where required</w:t>
            </w:r>
          </w:p>
        </w:tc>
        <w:tc>
          <w:tcPr>
            <w:tcW w:type="dxa" w:w="5100"/>
            <w:tcMar>
              <w:top w:w="90" w:type="dxa"/>
              <w:start w:w="90" w:type="dxa"/>
              <w:bottom w:w="90" w:type="dxa"/>
              <w:end w:w="90" w:type="dxa"/>
            </w:tcMar>
            <w:vAlign w:val="center"/>
          </w:tcPr>
          <w:p>
            <w:r>
              <w:rPr>
                <w:rFonts w:ascii="Aptos" w:hAnsi="Aptos"/>
                <w:b w:val="0"/>
                <w:sz w:val="17"/>
              </w:rPr>
              <w:t>Yes / No / Not required</w:t>
            </w:r>
          </w:p>
        </w:tc>
      </w:tr>
    </w:tbl>
    <w:p>
      <w:pPr>
        <w:spacing w:after="100" w:line="259" w:lineRule="auto"/>
      </w:pPr>
      <w:r>
        <w:rPr>
          <w:rFonts w:ascii="Aptos" w:hAnsi="Aptos"/>
          <w:i w:val="0"/>
        </w:rPr>
        <w:t>Declaration: I confirm that the final submission is my own work except for the AI-supported elements identified above. I understand that I am responsible for the accuracy, integrity, sources and authenticity of the work submitted in my name.</w:t>
      </w:r>
    </w:p>
    <w:p>
      <w:pPr>
        <w:pStyle w:val="Heading1"/>
      </w:pPr>
      <w:r>
        <w:rPr>
          <w:rFonts w:ascii="Aptos" w:hAnsi="Aptos"/>
          <w:b/>
          <w:color w:val="764689"/>
        </w:rPr>
        <w:t>Appendix 3 - AI Assessment Status Labels</w:t>
      </w:r>
    </w:p>
    <w:p>
      <w:pPr>
        <w:spacing w:after="60"/>
      </w:pPr>
      <w:r>
        <w:rPr>
          <w:rFonts w:ascii="Aptos" w:hAnsi="Aptos"/>
          <w:b/>
          <w:color w:val="764689"/>
        </w:rPr>
        <w:t xml:space="preserve">AI-PROHIBITED: </w:t>
      </w:r>
      <w:r>
        <w:rPr>
          <w:rFonts w:ascii="Aptos" w:hAnsi="Aptos"/>
        </w:rPr>
        <w:t>AI must not be used in producing or responding to the assessment, except for an explicitly approved access arrangement/adjustment.</w:t>
      </w:r>
    </w:p>
    <w:p>
      <w:pPr>
        <w:spacing w:after="60"/>
      </w:pPr>
      <w:r>
        <w:rPr>
          <w:rFonts w:ascii="Aptos" w:hAnsi="Aptos"/>
          <w:b/>
          <w:color w:val="764689"/>
        </w:rPr>
        <w:t xml:space="preserve">AI-LIMITED: </w:t>
      </w:r>
      <w:r>
        <w:rPr>
          <w:rFonts w:ascii="Aptos" w:hAnsi="Aptos"/>
        </w:rPr>
        <w:t>Specific AI uses are allowed for defined purposes only. The brief states what is permitted, what is prohibited and what evidence/declaration is required.</w:t>
      </w:r>
    </w:p>
    <w:p>
      <w:pPr>
        <w:spacing w:after="60"/>
      </w:pPr>
      <w:r>
        <w:rPr>
          <w:rFonts w:ascii="Aptos" w:hAnsi="Aptos"/>
          <w:b/>
          <w:color w:val="764689"/>
        </w:rPr>
        <w:t xml:space="preserve">AI-PERMITTED WITH DECLARATION: </w:t>
      </w:r>
      <w:r>
        <w:rPr>
          <w:rFonts w:ascii="Aptos" w:hAnsi="Aptos"/>
        </w:rPr>
        <w:t>AI may be used as a supporting tool, but material use must be disclosed and the final evidence must remain demonstrably the learner’s own.</w:t>
      </w:r>
    </w:p>
    <w:p>
      <w:pPr>
        <w:spacing w:after="60"/>
      </w:pPr>
      <w:r>
        <w:rPr>
          <w:rFonts w:ascii="Aptos" w:hAnsi="Aptos"/>
          <w:b/>
          <w:color w:val="764689"/>
        </w:rPr>
        <w:t xml:space="preserve">AI-INTEGRATED ASSESSMENT: </w:t>
      </w:r>
      <w:r>
        <w:rPr>
          <w:rFonts w:ascii="Aptos" w:hAnsi="Aptos"/>
        </w:rPr>
        <w:t>Use of AI is part of what is being assessed. The brief states the task, permitted tools, evidence, critique, declaration and retained records required.</w:t>
      </w:r>
    </w:p>
    <w:p>
      <w:pPr>
        <w:spacing w:after="100" w:line="259" w:lineRule="auto"/>
      </w:pPr>
      <w:r>
        <w:rPr>
          <w:rFonts w:ascii="Aptos" w:hAnsi="Aptos"/>
          <w:i w:val="0"/>
        </w:rPr>
        <w:t>Recommended assessment-brief wording:</w:t>
      </w:r>
    </w:p>
    <w:p>
      <w:r>
        <w:rPr>
          <w:rFonts w:ascii="Aptos" w:hAnsi="Aptos"/>
          <w:b/>
          <w:color w:val="2D3F98"/>
        </w:rPr>
        <w:t xml:space="preserve">AI-PROHIBITED: </w:t>
      </w:r>
      <w:r>
        <w:rPr>
          <w:rFonts w:ascii="Aptos" w:hAnsi="Aptos"/>
        </w:rPr>
        <w:t>You must not use generative AI or AI-enabled rewriting/paraphrasing tools to produce any part of this assessment, except for an explicitly approved reasonable adjustment. You may be asked to discuss your work or provide drafts to confirm authenticity.</w:t>
      </w:r>
    </w:p>
    <w:p>
      <w:r>
        <w:rPr>
          <w:rFonts w:ascii="Aptos" w:hAnsi="Aptos"/>
          <w:b/>
          <w:color w:val="2D3F98"/>
        </w:rPr>
        <w:t xml:space="preserve">AI-LIMITED: </w:t>
      </w:r>
      <w:r>
        <w:rPr>
          <w:rFonts w:ascii="Aptos" w:hAnsi="Aptos"/>
        </w:rPr>
        <w:t>You may use AI only for the purposes stated in this brief. Any other AI use is prohibited. Where required, include an AI Use Declaration and retained prompt/output evidence with your submission.</w:t>
      </w:r>
    </w:p>
    <w:p>
      <w:r>
        <w:rPr>
          <w:rFonts w:ascii="Aptos" w:hAnsi="Aptos"/>
          <w:b/>
          <w:color w:val="2D3F98"/>
        </w:rPr>
        <w:t xml:space="preserve">AI-PERMITTED WITH DECLARATION: </w:t>
      </w:r>
      <w:r>
        <w:rPr>
          <w:rFonts w:ascii="Aptos" w:hAnsi="Aptos"/>
        </w:rPr>
        <w:t>You may use AI as a supporting tool. You must declare material AI use. The assessment must still demonstrate your own knowledge, skills, judgement and understanding, and you remain responsible for all submitted content.</w:t>
      </w:r>
    </w:p>
    <w:p>
      <w:r>
        <w:rPr>
          <w:rFonts w:ascii="Aptos" w:hAnsi="Aptos"/>
          <w:b/>
          <w:color w:val="2D3F98"/>
        </w:rPr>
        <w:t xml:space="preserve">AI-INTEGRATED ASSESSMENT: </w:t>
      </w:r>
      <w:r>
        <w:rPr>
          <w:rFonts w:ascii="Aptos" w:hAnsi="Aptos"/>
        </w:rPr>
        <w:t>Use of AI forms part of this assessment. Follow the task instructions, retain the required prompt/output evidence, and critically evaluate the AI contribution rather than accepting it uncritically.</w:t>
      </w:r>
    </w:p>
    <w:p>
      <w:pPr>
        <w:pStyle w:val="Heading1"/>
      </w:pPr>
      <w:r>
        <w:rPr>
          <w:rFonts w:ascii="Aptos" w:hAnsi="Aptos"/>
          <w:b/>
          <w:color w:val="764689"/>
        </w:rPr>
        <w:t>Appendix 4 - Authenticity and Investigation Evidence Checklist</w:t>
      </w:r>
    </w:p>
    <w:p>
      <w:pPr>
        <w:spacing w:after="100" w:line="259" w:lineRule="auto"/>
      </w:pPr>
      <w:r>
        <w:rPr>
          <w:rFonts w:ascii="Aptos" w:hAnsi="Aptos"/>
          <w:i w:val="0"/>
        </w:rPr>
        <w:t>The following evidence may be considered where authenticity is questioned. Not every item will be relevant in every case and no single indicator is automatically determinative.</w:t>
      </w:r>
    </w:p>
    <w:p>
      <w:pPr>
        <w:pStyle w:val="ListBullet"/>
        <w:spacing w:after="50"/>
      </w:pPr>
      <w:r>
        <w:rPr>
          <w:rFonts w:ascii="Aptos" w:hAnsi="Aptos"/>
        </w:rPr>
        <w:t>Assessment brief and stated AI status.</w:t>
      </w:r>
    </w:p>
    <w:p>
      <w:pPr>
        <w:pStyle w:val="ListBullet"/>
        <w:spacing w:after="50"/>
      </w:pPr>
      <w:r>
        <w:rPr>
          <w:rFonts w:ascii="Aptos" w:hAnsi="Aptos"/>
        </w:rPr>
        <w:t>Learner declaration of authenticity and any AI Use Declaration.</w:t>
      </w:r>
    </w:p>
    <w:p>
      <w:pPr>
        <w:pStyle w:val="ListBullet"/>
        <w:spacing w:after="50"/>
      </w:pPr>
      <w:r>
        <w:rPr>
          <w:rFonts w:ascii="Aptos" w:hAnsi="Aptos"/>
        </w:rPr>
        <w:t>Previous authenticated learner work and known performance.</w:t>
      </w:r>
    </w:p>
    <w:p>
      <w:pPr>
        <w:pStyle w:val="ListBullet"/>
        <w:spacing w:after="50"/>
      </w:pPr>
      <w:r>
        <w:rPr>
          <w:rFonts w:ascii="Aptos" w:hAnsi="Aptos"/>
        </w:rPr>
        <w:t>Drafts, notes, planning documents, working files and version history.</w:t>
      </w:r>
    </w:p>
    <w:p>
      <w:pPr>
        <w:pStyle w:val="ListBullet"/>
        <w:spacing w:after="50"/>
      </w:pPr>
      <w:r>
        <w:rPr>
          <w:rFonts w:ascii="Aptos" w:hAnsi="Aptos"/>
        </w:rPr>
        <w:t>Source list/bibliography and verification of cited material.</w:t>
      </w:r>
    </w:p>
    <w:p>
      <w:pPr>
        <w:pStyle w:val="ListBullet"/>
        <w:spacing w:after="50"/>
      </w:pPr>
      <w:r>
        <w:rPr>
          <w:rFonts w:ascii="Aptos" w:hAnsi="Aptos"/>
        </w:rPr>
        <w:t>Assessment platform activity, secure submission records and digital audit trail where lawfully available.</w:t>
      </w:r>
    </w:p>
    <w:p>
      <w:pPr>
        <w:pStyle w:val="ListBullet"/>
        <w:spacing w:after="50"/>
      </w:pPr>
      <w:r>
        <w:rPr>
          <w:rFonts w:ascii="Aptos" w:hAnsi="Aptos"/>
        </w:rPr>
        <w:t>Similarity reports and underlying matched sources.</w:t>
      </w:r>
    </w:p>
    <w:p>
      <w:pPr>
        <w:pStyle w:val="ListBullet"/>
        <w:spacing w:after="50"/>
      </w:pPr>
      <w:r>
        <w:rPr>
          <w:rFonts w:ascii="Aptos" w:hAnsi="Aptos"/>
        </w:rPr>
        <w:t>AI-detection indicators, treated as supporting rather than conclusive evidence.</w:t>
      </w:r>
    </w:p>
    <w:p>
      <w:pPr>
        <w:pStyle w:val="ListBullet"/>
        <w:spacing w:after="50"/>
      </w:pPr>
      <w:r>
        <w:rPr>
          <w:rFonts w:ascii="Aptos" w:hAnsi="Aptos"/>
        </w:rPr>
        <w:t>Oral questioning/professional discussion about concepts, sources, process and decisions.</w:t>
      </w:r>
    </w:p>
    <w:p>
      <w:pPr>
        <w:pStyle w:val="ListBullet"/>
        <w:spacing w:after="50"/>
      </w:pPr>
      <w:r>
        <w:rPr>
          <w:rFonts w:ascii="Aptos" w:hAnsi="Aptos"/>
        </w:rPr>
        <w:t>Calculation working, code history, datasets, raw files or practical process evidence.</w:t>
      </w:r>
    </w:p>
    <w:p>
      <w:pPr>
        <w:pStyle w:val="ListBullet"/>
        <w:spacing w:after="50"/>
      </w:pPr>
      <w:r>
        <w:rPr>
          <w:rFonts w:ascii="Aptos" w:hAnsi="Aptos"/>
        </w:rPr>
        <w:t>Images/video/audio metadata and evidence of manipulation/synthetic generation where relevant.</w:t>
      </w:r>
    </w:p>
    <w:p>
      <w:pPr>
        <w:pStyle w:val="ListBullet"/>
        <w:spacing w:after="50"/>
      </w:pPr>
      <w:r>
        <w:rPr>
          <w:rFonts w:ascii="Aptos" w:hAnsi="Aptos"/>
        </w:rPr>
        <w:t>Witness statements and verification of workplace evidence.</w:t>
      </w:r>
    </w:p>
    <w:p>
      <w:pPr>
        <w:pStyle w:val="ListBullet"/>
        <w:spacing w:after="50"/>
      </w:pPr>
      <w:r>
        <w:rPr>
          <w:rFonts w:ascii="Aptos" w:hAnsi="Aptos"/>
        </w:rPr>
        <w:t>Approved reasonable adjustments and assistive technology arrangements.</w:t>
      </w:r>
    </w:p>
    <w:p>
      <w:pPr>
        <w:pStyle w:val="ListBullet"/>
        <w:spacing w:after="50"/>
      </w:pPr>
      <w:r>
        <w:rPr>
          <w:rFonts w:ascii="Aptos" w:hAnsi="Aptos"/>
        </w:rPr>
        <w:t>Relevant staff/learner communications.</w:t>
      </w:r>
    </w:p>
    <w:p>
      <w:pPr>
        <w:pStyle w:val="ListBullet"/>
        <w:spacing w:after="50"/>
      </w:pPr>
      <w:r>
        <w:rPr>
          <w:rFonts w:ascii="Aptos" w:hAnsi="Aptos"/>
        </w:rPr>
        <w:t>Relevant AO / apprenticeship Assessment Organisation / legacy EPAO instructions or external investigation requirements.</w:t>
      </w:r>
    </w:p>
    <w:p>
      <w:pPr>
        <w:pStyle w:val="ListBullet"/>
        <w:spacing w:after="50"/>
      </w:pPr>
      <w:r>
        <w:rPr>
          <w:rFonts w:ascii="Aptos" w:hAnsi="Aptos"/>
        </w:rPr>
        <w:t>Potential adverse effect on learners, assessment validity, standards or public confidence.</w:t>
      </w:r>
    </w:p>
    <w:p>
      <w:pPr>
        <w:pStyle w:val="ListBullet"/>
        <w:spacing w:after="50"/>
      </w:pPr>
      <w:r>
        <w:rPr>
          <w:rFonts w:ascii="Aptos" w:hAnsi="Aptos"/>
        </w:rPr>
        <w:t>Evidence of whether similar concerns may affect other learners, cohorts or historic decisions.</w:t>
      </w:r>
    </w:p>
    <w:p>
      <w:pPr>
        <w:pStyle w:val="ListBullet"/>
      </w:pPr>
      <w:r>
        <w:rPr>
          <w:rFonts w:ascii="Aptos" w:hAnsi="Aptos"/>
        </w:rPr>
        <w:t>Group-work instructions and the boundary between permitted collaboration and individual evidence.</w:t>
      </w:r>
    </w:p>
    <w:p>
      <w:pPr>
        <w:pStyle w:val="ListBullet"/>
      </w:pPr>
      <w:r>
        <w:rPr>
          <w:rFonts w:ascii="Aptos" w:hAnsi="Aptos"/>
        </w:rPr>
        <w:t>Patterns of identical or distinctive errors, shared non-public material or coordinated answers where collusion is suspected.</w:t>
      </w:r>
    </w:p>
    <w:p>
      <w:pPr>
        <w:pStyle w:val="ListBullet"/>
      </w:pPr>
      <w:r>
        <w:rPr>
          <w:rFonts w:ascii="Aptos" w:hAnsi="Aptos"/>
        </w:rPr>
        <w:t>Invigilation, seating, device, access and communication evidence relevant to suspected cheating, where lawfully available.</w:t>
      </w:r>
    </w:p>
    <w:p>
      <w:pPr>
        <w:pStyle w:val="ListBullet"/>
        <w:spacing w:after="50"/>
      </w:pPr>
      <w:r>
        <w:rPr>
          <w:rFonts w:ascii="Aptos" w:hAnsi="Aptos"/>
        </w:rPr>
        <w:t>Corrective/preventative actions required to prevent recurrence.</w:t>
      </w:r>
    </w:p>
    <w:p>
      <w:pPr>
        <w:pStyle w:val="Heading1"/>
      </w:pPr>
      <w:r>
        <w:rPr>
          <w:rFonts w:ascii="Aptos" w:hAnsi="Aptos"/>
          <w:b/>
          <w:color w:val="764689"/>
        </w:rPr>
        <w:t>Appendix 5 - AI Tool Approval and Safe-Use Checklist</w:t>
      </w:r>
    </w:p>
    <w:p>
      <w:pPr>
        <w:spacing w:after="100" w:line="259" w:lineRule="auto"/>
      </w:pPr>
      <w:r>
        <w:rPr>
          <w:rFonts w:ascii="Aptos" w:hAnsi="Aptos"/>
          <w:i w:val="0"/>
        </w:rPr>
        <w:t>Use proportionately where Qualia Academy proposes to adopt an AI tool for staff or learner-facing institutional use. A low-risk one-off personal learning use may not require the same approval process as a system handling learner data or contributing to assessment.</w:t>
      </w:r>
    </w:p>
    <w:tbl>
      <w:tblPr>
        <w:tblW w:type="auto" w:w="0"/>
        <w:jc w:val="center"/>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5100"/>
        <w:gridCol w:w="5100"/>
      </w:tblGrid>
      <w:tr>
        <w:trPr>
          <w:tblHeader w:val="true"/>
        </w:trPr>
        <w:tc>
          <w:tcPr>
            <w:tcW w:type="dxa" w:w="5100"/>
            <w:shd w:fill="EEE7F1"/>
            <w:tcMar>
              <w:top w:w="90" w:type="dxa"/>
              <w:start w:w="90" w:type="dxa"/>
              <w:bottom w:w="90" w:type="dxa"/>
              <w:end w:w="90" w:type="dxa"/>
            </w:tcMar>
          </w:tcPr>
          <w:p>
            <w:r>
              <w:rPr>
                <w:rFonts w:ascii="Aptos" w:hAnsi="Aptos"/>
                <w:b/>
                <w:sz w:val="17"/>
              </w:rPr>
              <w:t>Check</w:t>
            </w:r>
          </w:p>
        </w:tc>
        <w:tc>
          <w:tcPr>
            <w:tcW w:type="dxa" w:w="5100"/>
            <w:shd w:fill="EEE7F1"/>
            <w:tcMar>
              <w:top w:w="90" w:type="dxa"/>
              <w:start w:w="90" w:type="dxa"/>
              <w:bottom w:w="90" w:type="dxa"/>
              <w:end w:w="90" w:type="dxa"/>
            </w:tcMar>
          </w:tcPr>
          <w:p>
            <w:r>
              <w:rPr>
                <w:rFonts w:ascii="Aptos" w:hAnsi="Aptos"/>
                <w:b/>
                <w:sz w:val="17"/>
              </w:rPr>
              <w:t>Requirement / question</w:t>
            </w:r>
          </w:p>
        </w:tc>
      </w:tr>
      <w:tr>
        <w:trPr>
          <w:cantSplit/>
        </w:trPr>
        <w:tc>
          <w:tcPr>
            <w:tcW w:type="dxa" w:w="5100"/>
            <w:tcMar>
              <w:top w:w="90" w:type="dxa"/>
              <w:start w:w="90" w:type="dxa"/>
              <w:bottom w:w="90" w:type="dxa"/>
              <w:end w:w="90" w:type="dxa"/>
            </w:tcMar>
          </w:tcPr>
          <w:p>
            <w:r>
              <w:rPr>
                <w:rFonts w:ascii="Aptos" w:hAnsi="Aptos"/>
                <w:b/>
                <w:sz w:val="16"/>
              </w:rPr>
              <w:t>Purpose and assessment fit</w:t>
            </w:r>
          </w:p>
        </w:tc>
        <w:tc>
          <w:tcPr>
            <w:tcW w:type="dxa" w:w="5100"/>
            <w:tcMar>
              <w:top w:w="90" w:type="dxa"/>
              <w:start w:w="90" w:type="dxa"/>
              <w:bottom w:w="90" w:type="dxa"/>
              <w:end w:w="90" w:type="dxa"/>
            </w:tcMar>
          </w:tcPr>
          <w:p>
            <w:r>
              <w:t>Is the intended use clear, educationally justified and compatible with AO / apprenticeship Assessment Organisation / legacy EPAO rules and the competence being assessed?</w:t>
            </w:r>
          </w:p>
        </w:tc>
      </w:tr>
      <w:tr>
        <w:trPr>
          <w:cantSplit/>
        </w:trPr>
        <w:tc>
          <w:tcPr>
            <w:tcW w:type="dxa" w:w="5100"/>
            <w:tcMar>
              <w:top w:w="90" w:type="dxa"/>
              <w:start w:w="90" w:type="dxa"/>
              <w:bottom w:w="90" w:type="dxa"/>
              <w:end w:w="90" w:type="dxa"/>
            </w:tcMar>
          </w:tcPr>
          <w:p>
            <w:r>
              <w:rPr>
                <w:rFonts w:ascii="Aptos" w:hAnsi="Aptos"/>
                <w:b/>
                <w:sz w:val="16"/>
              </w:rPr>
              <w:t>Users and age/safeguarding</w:t>
            </w:r>
          </w:p>
        </w:tc>
        <w:tc>
          <w:tcPr>
            <w:tcW w:type="dxa" w:w="5100"/>
            <w:tcMar>
              <w:top w:w="90" w:type="dxa"/>
              <w:start w:w="90" w:type="dxa"/>
              <w:bottom w:w="90" w:type="dxa"/>
              <w:end w:w="90" w:type="dxa"/>
            </w:tcMar>
          </w:tcPr>
          <w:p>
            <w:r>
              <w:rPr>
                <w:rFonts w:ascii="Aptos" w:hAnsi="Aptos"/>
                <w:b w:val="0"/>
                <w:sz w:val="16"/>
              </w:rPr>
              <w:t>Who will use the tool? Are age restrictions, vulnerability, safeguarding, filtering/monitoring or supervision requirements relevant?</w:t>
            </w:r>
          </w:p>
        </w:tc>
      </w:tr>
      <w:tr>
        <w:trPr>
          <w:cantSplit/>
        </w:trPr>
        <w:tc>
          <w:tcPr>
            <w:tcW w:type="dxa" w:w="5100"/>
            <w:tcMar>
              <w:top w:w="90" w:type="dxa"/>
              <w:start w:w="90" w:type="dxa"/>
              <w:bottom w:w="90" w:type="dxa"/>
              <w:end w:w="90" w:type="dxa"/>
            </w:tcMar>
          </w:tcPr>
          <w:p>
            <w:r>
              <w:rPr>
                <w:rFonts w:ascii="Aptos" w:hAnsi="Aptos"/>
                <w:b/>
                <w:sz w:val="16"/>
              </w:rPr>
              <w:t>Data protection</w:t>
            </w:r>
          </w:p>
        </w:tc>
        <w:tc>
          <w:tcPr>
            <w:tcW w:type="dxa" w:w="5100"/>
            <w:tcMar>
              <w:top w:w="90" w:type="dxa"/>
              <w:start w:w="90" w:type="dxa"/>
              <w:bottom w:w="90" w:type="dxa"/>
              <w:end w:w="90" w:type="dxa"/>
            </w:tcMar>
          </w:tcPr>
          <w:p>
            <w:r>
              <w:rPr>
                <w:rFonts w:ascii="Aptos" w:hAnsi="Aptos"/>
                <w:b w:val="0"/>
                <w:sz w:val="16"/>
              </w:rPr>
              <w:t>Will personal or special-category data be processed? What is the lawful basis, retention, location, sharing and deletion position? Is a DPIA required?</w:t>
            </w:r>
          </w:p>
        </w:tc>
      </w:tr>
      <w:tr>
        <w:trPr>
          <w:cantSplit/>
        </w:trPr>
        <w:tc>
          <w:tcPr>
            <w:tcW w:type="dxa" w:w="5100"/>
            <w:tcMar>
              <w:top w:w="90" w:type="dxa"/>
              <w:start w:w="90" w:type="dxa"/>
              <w:bottom w:w="90" w:type="dxa"/>
              <w:end w:w="90" w:type="dxa"/>
            </w:tcMar>
          </w:tcPr>
          <w:p>
            <w:r>
              <w:rPr>
                <w:rFonts w:ascii="Aptos" w:hAnsi="Aptos"/>
                <w:b/>
                <w:sz w:val="16"/>
              </w:rPr>
              <w:t>Confidentiality</w:t>
            </w:r>
          </w:p>
        </w:tc>
        <w:tc>
          <w:tcPr>
            <w:tcW w:type="dxa" w:w="5100"/>
            <w:tcMar>
              <w:top w:w="90" w:type="dxa"/>
              <w:start w:w="90" w:type="dxa"/>
              <w:bottom w:w="90" w:type="dxa"/>
              <w:end w:w="90" w:type="dxa"/>
            </w:tcMar>
          </w:tcPr>
          <w:p>
            <w:r>
              <w:rPr>
                <w:rFonts w:ascii="Aptos" w:hAnsi="Aptos"/>
                <w:b w:val="0"/>
                <w:sz w:val="16"/>
              </w:rPr>
              <w:t>Could assessment content, employer information, learner records or commercially sensitive material be exposed?</w:t>
            </w:r>
          </w:p>
        </w:tc>
      </w:tr>
      <w:tr>
        <w:trPr>
          <w:cantSplit/>
        </w:trPr>
        <w:tc>
          <w:tcPr>
            <w:tcW w:type="dxa" w:w="5100"/>
            <w:tcMar>
              <w:top w:w="90" w:type="dxa"/>
              <w:start w:w="90" w:type="dxa"/>
              <w:bottom w:w="90" w:type="dxa"/>
              <w:end w:w="90" w:type="dxa"/>
            </w:tcMar>
          </w:tcPr>
          <w:p>
            <w:r>
              <w:rPr>
                <w:rFonts w:ascii="Aptos" w:hAnsi="Aptos"/>
                <w:b/>
                <w:sz w:val="16"/>
              </w:rPr>
              <w:t>Copyright / IP</w:t>
            </w:r>
          </w:p>
        </w:tc>
        <w:tc>
          <w:tcPr>
            <w:tcW w:type="dxa" w:w="5100"/>
            <w:tcMar>
              <w:top w:w="90" w:type="dxa"/>
              <w:start w:w="90" w:type="dxa"/>
              <w:bottom w:w="90" w:type="dxa"/>
              <w:end w:w="90" w:type="dxa"/>
            </w:tcMar>
          </w:tcPr>
          <w:p>
            <w:r>
              <w:rPr>
                <w:rFonts w:ascii="Aptos" w:hAnsi="Aptos"/>
                <w:b w:val="0"/>
                <w:sz w:val="16"/>
              </w:rPr>
              <w:t>What rights does the supplier claim over prompts, uploads and outputs? Could learner/staff IP be used for model training or product improvement?</w:t>
            </w:r>
          </w:p>
        </w:tc>
      </w:tr>
      <w:tr>
        <w:trPr>
          <w:cantSplit/>
        </w:trPr>
        <w:tc>
          <w:tcPr>
            <w:tcW w:type="dxa" w:w="5100"/>
            <w:tcMar>
              <w:top w:w="90" w:type="dxa"/>
              <w:start w:w="90" w:type="dxa"/>
              <w:bottom w:w="90" w:type="dxa"/>
              <w:end w:w="90" w:type="dxa"/>
            </w:tcMar>
          </w:tcPr>
          <w:p>
            <w:r>
              <w:rPr>
                <w:rFonts w:ascii="Aptos" w:hAnsi="Aptos"/>
                <w:b/>
                <w:sz w:val="16"/>
              </w:rPr>
              <w:t>Cyber-security</w:t>
            </w:r>
          </w:p>
        </w:tc>
        <w:tc>
          <w:tcPr>
            <w:tcW w:type="dxa" w:w="5100"/>
            <w:tcMar>
              <w:top w:w="90" w:type="dxa"/>
              <w:start w:w="90" w:type="dxa"/>
              <w:bottom w:w="90" w:type="dxa"/>
              <w:end w:w="90" w:type="dxa"/>
            </w:tcMar>
          </w:tcPr>
          <w:p>
            <w:r>
              <w:rPr>
                <w:rFonts w:ascii="Aptos" w:hAnsi="Aptos"/>
                <w:b w:val="0"/>
                <w:sz w:val="16"/>
              </w:rPr>
              <w:t>Are authentication, MFA, permissions, patching, logging, incident response and integration risks adequate for the use case?</w:t>
            </w:r>
          </w:p>
        </w:tc>
      </w:tr>
      <w:tr>
        <w:trPr>
          <w:cantSplit/>
        </w:trPr>
        <w:tc>
          <w:tcPr>
            <w:tcW w:type="dxa" w:w="5100"/>
            <w:tcMar>
              <w:top w:w="90" w:type="dxa"/>
              <w:start w:w="90" w:type="dxa"/>
              <w:bottom w:w="90" w:type="dxa"/>
              <w:end w:w="90" w:type="dxa"/>
            </w:tcMar>
          </w:tcPr>
          <w:p>
            <w:r>
              <w:rPr>
                <w:rFonts w:ascii="Aptos" w:hAnsi="Aptos"/>
                <w:b/>
                <w:sz w:val="16"/>
              </w:rPr>
              <w:t>Safety and manipulation</w:t>
            </w:r>
          </w:p>
        </w:tc>
        <w:tc>
          <w:tcPr>
            <w:tcW w:type="dxa" w:w="5100"/>
            <w:tcMar>
              <w:top w:w="90" w:type="dxa"/>
              <w:start w:w="90" w:type="dxa"/>
              <w:bottom w:w="90" w:type="dxa"/>
              <w:end w:w="90" w:type="dxa"/>
            </w:tcMar>
          </w:tcPr>
          <w:p>
            <w:r>
              <w:rPr>
                <w:rFonts w:ascii="Aptos" w:hAnsi="Aptos"/>
                <w:b w:val="0"/>
                <w:sz w:val="16"/>
              </w:rPr>
              <w:t>Could the product produce harmful content, pressure/manipulate users, encourage overreliance or enable impersonation/deepfakes?</w:t>
            </w:r>
          </w:p>
        </w:tc>
      </w:tr>
      <w:tr>
        <w:trPr>
          <w:cantSplit/>
        </w:trPr>
        <w:tc>
          <w:tcPr>
            <w:tcW w:type="dxa" w:w="5100"/>
            <w:tcMar>
              <w:top w:w="90" w:type="dxa"/>
              <w:start w:w="90" w:type="dxa"/>
              <w:bottom w:w="90" w:type="dxa"/>
              <w:end w:w="90" w:type="dxa"/>
            </w:tcMar>
          </w:tcPr>
          <w:p>
            <w:r>
              <w:rPr>
                <w:rFonts w:ascii="Aptos" w:hAnsi="Aptos"/>
                <w:b/>
                <w:sz w:val="16"/>
              </w:rPr>
              <w:t>Accuracy and bias</w:t>
            </w:r>
          </w:p>
        </w:tc>
        <w:tc>
          <w:tcPr>
            <w:tcW w:type="dxa" w:w="5100"/>
            <w:tcMar>
              <w:top w:w="90" w:type="dxa"/>
              <w:start w:w="90" w:type="dxa"/>
              <w:bottom w:w="90" w:type="dxa"/>
              <w:end w:w="90" w:type="dxa"/>
            </w:tcMar>
          </w:tcPr>
          <w:p>
            <w:r>
              <w:rPr>
                <w:rFonts w:ascii="Aptos" w:hAnsi="Aptos"/>
                <w:b w:val="0"/>
                <w:sz w:val="16"/>
              </w:rPr>
              <w:t>How will hallucination, fabricated sources, bias and unreliable output be checked?</w:t>
            </w:r>
          </w:p>
        </w:tc>
      </w:tr>
      <w:tr>
        <w:trPr>
          <w:cantSplit/>
        </w:trPr>
        <w:tc>
          <w:tcPr>
            <w:tcW w:type="dxa" w:w="5100"/>
            <w:tcMar>
              <w:top w:w="90" w:type="dxa"/>
              <w:start w:w="90" w:type="dxa"/>
              <w:bottom w:w="90" w:type="dxa"/>
              <w:end w:w="90" w:type="dxa"/>
            </w:tcMar>
          </w:tcPr>
          <w:p>
            <w:r>
              <w:rPr>
                <w:rFonts w:ascii="Aptos" w:hAnsi="Aptos"/>
                <w:b/>
                <w:sz w:val="16"/>
              </w:rPr>
              <w:t>Human oversight</w:t>
            </w:r>
          </w:p>
        </w:tc>
        <w:tc>
          <w:tcPr>
            <w:tcW w:type="dxa" w:w="5100"/>
            <w:tcMar>
              <w:top w:w="90" w:type="dxa"/>
              <w:start w:w="90" w:type="dxa"/>
              <w:bottom w:w="90" w:type="dxa"/>
              <w:end w:w="90" w:type="dxa"/>
            </w:tcMar>
          </w:tcPr>
          <w:p>
            <w:r>
              <w:rPr>
                <w:rFonts w:ascii="Aptos" w:hAnsi="Aptos"/>
                <w:b w:val="0"/>
                <w:sz w:val="16"/>
              </w:rPr>
              <w:t>Which staff member remains accountable? Can the output be explained, challenged and overridden?</w:t>
            </w:r>
          </w:p>
        </w:tc>
      </w:tr>
      <w:tr>
        <w:trPr>
          <w:cantSplit/>
        </w:trPr>
        <w:tc>
          <w:tcPr>
            <w:tcW w:type="dxa" w:w="5100"/>
            <w:tcMar>
              <w:top w:w="90" w:type="dxa"/>
              <w:start w:w="90" w:type="dxa"/>
              <w:bottom w:w="90" w:type="dxa"/>
              <w:end w:w="90" w:type="dxa"/>
            </w:tcMar>
          </w:tcPr>
          <w:p>
            <w:r>
              <w:rPr>
                <w:rFonts w:ascii="Aptos" w:hAnsi="Aptos"/>
                <w:b/>
                <w:sz w:val="16"/>
              </w:rPr>
              <w:t>Assessment integrity</w:t>
            </w:r>
          </w:p>
        </w:tc>
        <w:tc>
          <w:tcPr>
            <w:tcW w:type="dxa" w:w="5100"/>
            <w:tcMar>
              <w:top w:w="90" w:type="dxa"/>
              <w:start w:w="90" w:type="dxa"/>
              <w:bottom w:w="90" w:type="dxa"/>
              <w:end w:w="90" w:type="dxa"/>
            </w:tcMar>
          </w:tcPr>
          <w:p>
            <w:r>
              <w:rPr>
                <w:rFonts w:ascii="Aptos" w:hAnsi="Aptos"/>
                <w:b w:val="0"/>
                <w:sz w:val="16"/>
              </w:rPr>
              <w:t>Could the tool generate the competence being assessed or undermine authentication? What controls are required?</w:t>
            </w:r>
          </w:p>
        </w:tc>
      </w:tr>
      <w:tr>
        <w:trPr>
          <w:cantSplit/>
        </w:trPr>
        <w:tc>
          <w:tcPr>
            <w:tcW w:type="dxa" w:w="5100"/>
            <w:tcMar>
              <w:top w:w="90" w:type="dxa"/>
              <w:start w:w="90" w:type="dxa"/>
              <w:bottom w:w="90" w:type="dxa"/>
              <w:end w:w="90" w:type="dxa"/>
            </w:tcMar>
          </w:tcPr>
          <w:p>
            <w:r>
              <w:rPr>
                <w:rFonts w:ascii="Aptos" w:hAnsi="Aptos"/>
                <w:b/>
                <w:sz w:val="16"/>
              </w:rPr>
              <w:t>Supplier change</w:t>
            </w:r>
          </w:p>
        </w:tc>
        <w:tc>
          <w:tcPr>
            <w:tcW w:type="dxa" w:w="5100"/>
            <w:tcMar>
              <w:top w:w="90" w:type="dxa"/>
              <w:start w:w="90" w:type="dxa"/>
              <w:bottom w:w="90" w:type="dxa"/>
              <w:end w:w="90" w:type="dxa"/>
            </w:tcMar>
          </w:tcPr>
          <w:p>
            <w:r>
              <w:rPr>
                <w:rFonts w:ascii="Aptos" w:hAnsi="Aptos"/>
                <w:b w:val="0"/>
                <w:sz w:val="16"/>
              </w:rPr>
              <w:t>How will model/version changes, terms changes and new features be reviewed?</w:t>
            </w:r>
          </w:p>
        </w:tc>
      </w:tr>
      <w:tr>
        <w:trPr>
          <w:cantSplit/>
        </w:trPr>
        <w:tc>
          <w:tcPr>
            <w:tcW w:type="dxa" w:w="5100"/>
            <w:tcMar>
              <w:top w:w="90" w:type="dxa"/>
              <w:start w:w="90" w:type="dxa"/>
              <w:bottom w:w="90" w:type="dxa"/>
              <w:end w:w="90" w:type="dxa"/>
            </w:tcMar>
          </w:tcPr>
          <w:p>
            <w:r>
              <w:rPr>
                <w:rFonts w:ascii="Aptos" w:hAnsi="Aptos"/>
                <w:b/>
                <w:sz w:val="16"/>
              </w:rPr>
              <w:t>Decision record</w:t>
            </w:r>
          </w:p>
        </w:tc>
        <w:tc>
          <w:tcPr>
            <w:tcW w:type="dxa" w:w="5100"/>
            <w:tcMar>
              <w:top w:w="90" w:type="dxa"/>
              <w:start w:w="90" w:type="dxa"/>
              <w:bottom w:w="90" w:type="dxa"/>
              <w:end w:w="90" w:type="dxa"/>
            </w:tcMar>
          </w:tcPr>
          <w:p>
            <w:r>
              <w:rPr>
                <w:rFonts w:ascii="Aptos" w:hAnsi="Aptos"/>
                <w:b w:val="0"/>
                <w:sz w:val="16"/>
              </w:rPr>
              <w:t>Approved / Approved with restrictions / Not approved, with owner, date and review point.</w:t>
            </w:r>
          </w:p>
        </w:tc>
      </w:tr>
    </w:tbl>
    <w:p>
      <w:r>
        <w:rPr>
          <w:rFonts w:ascii="Aptos" w:hAnsi="Aptos"/>
        </w:rPr>
        <w:br w:type="page"/>
      </w:r>
    </w:p>
    <w:p>
      <w:pPr>
        <w:pStyle w:val="Heading1"/>
      </w:pPr>
      <w:r>
        <w:rPr>
          <w:rFonts w:ascii="Aptos" w:hAnsi="Aptos"/>
          <w:b/>
          <w:color w:val="764689"/>
        </w:rPr>
        <w:t>Document Control</w:t>
      </w:r>
    </w:p>
    <w:tbl>
      <w:tblPr>
        <w:tblW w:type="auto" w:w="0"/>
        <w:jc w:val="center"/>
        <w:tblLayout w:type="fixed"/>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005"/>
        <w:gridCol w:w="6633"/>
      </w:tblGrid>
      <w:tr>
        <w:tc>
          <w:tcPr>
            <w:tcW w:type="dxa" w:w="5100"/>
            <w:tcMar>
              <w:top w:w="90" w:type="dxa"/>
              <w:start w:w="90" w:type="dxa"/>
              <w:bottom w:w="90" w:type="dxa"/>
              <w:end w:w="90" w:type="dxa"/>
            </w:tcMar>
            <w:vAlign w:val="center"/>
            <w:shd w:fill="EEE7F1"/>
          </w:tcPr>
          <w:p>
            <w:r>
              <w:rPr>
                <w:rFonts w:ascii="Aptos" w:hAnsi="Aptos"/>
                <w:b/>
                <w:sz w:val="18"/>
              </w:rPr>
              <w:t>Document owner</w:t>
            </w:r>
          </w:p>
        </w:tc>
        <w:tc>
          <w:tcPr>
            <w:tcW w:type="dxa" w:w="5100"/>
            <w:tcMar>
              <w:top w:w="90" w:type="dxa"/>
              <w:start w:w="90" w:type="dxa"/>
              <w:bottom w:w="90" w:type="dxa"/>
              <w:end w:w="90" w:type="dxa"/>
            </w:tcMar>
            <w:vAlign w:val="center"/>
          </w:tcPr>
          <w:p>
            <w:r>
              <w:rPr>
                <w:rFonts w:ascii="Aptos" w:hAnsi="Aptos"/>
                <w:sz w:val="18"/>
              </w:rPr>
              <w:t>Kirsty Watson</w:t>
            </w:r>
          </w:p>
        </w:tc>
      </w:tr>
      <w:tr>
        <w:tc>
          <w:tcPr>
            <w:tcW w:type="dxa" w:w="5100"/>
            <w:tcMar>
              <w:top w:w="90" w:type="dxa"/>
              <w:start w:w="90" w:type="dxa"/>
              <w:bottom w:w="90" w:type="dxa"/>
              <w:end w:w="90" w:type="dxa"/>
            </w:tcMar>
            <w:vAlign w:val="center"/>
            <w:shd w:fill="EEE7F1"/>
          </w:tcPr>
          <w:p>
            <w:r>
              <w:rPr>
                <w:rFonts w:ascii="Aptos" w:hAnsi="Aptos"/>
                <w:b/>
                <w:sz w:val="18"/>
              </w:rPr>
              <w:t>Current version</w:t>
            </w:r>
          </w:p>
        </w:tc>
        <w:tc>
          <w:tcPr>
            <w:tcW w:type="dxa" w:w="5100"/>
            <w:tcMar>
              <w:top w:w="90" w:type="dxa"/>
              <w:start w:w="90" w:type="dxa"/>
              <w:bottom w:w="90" w:type="dxa"/>
              <w:end w:w="90" w:type="dxa"/>
            </w:tcMar>
            <w:vAlign w:val="center"/>
          </w:tcPr>
          <w:p>
            <w:r>
              <w:rPr>
                <w:rFonts w:ascii="Aptos" w:hAnsi="Aptos"/>
                <w:sz w:val="18"/>
              </w:rPr>
              <w:t>V7.1:PMP2026</w:t>
            </w:r>
          </w:p>
        </w:tc>
      </w:tr>
      <w:tr>
        <w:tc>
          <w:tcPr>
            <w:tcW w:type="dxa" w:w="5100"/>
            <w:tcMar>
              <w:top w:w="90" w:type="dxa"/>
              <w:start w:w="90" w:type="dxa"/>
              <w:bottom w:w="90" w:type="dxa"/>
              <w:end w:w="90" w:type="dxa"/>
            </w:tcMar>
            <w:vAlign w:val="center"/>
            <w:shd w:fill="EEE7F1"/>
          </w:tcPr>
          <w:p>
            <w:r>
              <w:rPr>
                <w:rFonts w:ascii="Aptos" w:hAnsi="Aptos"/>
                <w:b/>
                <w:sz w:val="18"/>
              </w:rPr>
              <w:t>Effective date</w:t>
            </w:r>
          </w:p>
        </w:tc>
        <w:tc>
          <w:tcPr>
            <w:tcW w:type="dxa" w:w="5100"/>
            <w:tcMar>
              <w:top w:w="90" w:type="dxa"/>
              <w:start w:w="90" w:type="dxa"/>
              <w:bottom w:w="90" w:type="dxa"/>
              <w:end w:w="90" w:type="dxa"/>
            </w:tcMar>
            <w:vAlign w:val="center"/>
          </w:tcPr>
          <w:p>
            <w:r>
              <w:rPr>
                <w:rFonts w:ascii="Aptos" w:hAnsi="Aptos"/>
                <w:sz w:val="18"/>
              </w:rPr>
              <w:t>10/08/2026</w:t>
            </w:r>
          </w:p>
        </w:tc>
      </w:tr>
      <w:tr>
        <w:tc>
          <w:tcPr>
            <w:tcW w:type="dxa" w:w="5100"/>
            <w:tcMar>
              <w:top w:w="90" w:type="dxa"/>
              <w:start w:w="90" w:type="dxa"/>
              <w:bottom w:w="90" w:type="dxa"/>
              <w:end w:w="90" w:type="dxa"/>
            </w:tcMar>
            <w:vAlign w:val="center"/>
            <w:shd w:fill="EEE7F1"/>
          </w:tcPr>
          <w:p>
            <w:r>
              <w:rPr>
                <w:rFonts w:ascii="Aptos" w:hAnsi="Aptos"/>
                <w:b/>
                <w:sz w:val="18"/>
              </w:rPr>
              <w:t>Review date</w:t>
            </w:r>
          </w:p>
        </w:tc>
        <w:tc>
          <w:tcPr>
            <w:tcW w:type="dxa" w:w="5100"/>
            <w:tcMar>
              <w:top w:w="90" w:type="dxa"/>
              <w:start w:w="90" w:type="dxa"/>
              <w:bottom w:w="90" w:type="dxa"/>
              <w:end w:w="90" w:type="dxa"/>
            </w:tcMar>
            <w:vAlign w:val="center"/>
          </w:tcPr>
          <w:p>
            <w:r>
              <w:rPr>
                <w:rFonts w:ascii="Aptos" w:hAnsi="Aptos"/>
                <w:sz w:val="18"/>
              </w:rPr>
              <w:t>21/01/2027</w:t>
            </w:r>
          </w:p>
        </w:tc>
      </w:tr>
      <w:tr>
        <w:tc>
          <w:tcPr>
            <w:tcW w:type="dxa" w:w="5100"/>
            <w:tcMar>
              <w:top w:w="90" w:type="dxa"/>
              <w:start w:w="90" w:type="dxa"/>
              <w:bottom w:w="90" w:type="dxa"/>
              <w:end w:w="90" w:type="dxa"/>
            </w:tcMar>
            <w:vAlign w:val="center"/>
            <w:shd w:fill="EEE7F1"/>
          </w:tcPr>
          <w:p>
            <w:r>
              <w:rPr>
                <w:rFonts w:ascii="Aptos" w:hAnsi="Aptos"/>
                <w:b/>
                <w:sz w:val="18"/>
              </w:rPr>
              <w:t>Classification</w:t>
            </w:r>
          </w:p>
        </w:tc>
        <w:tc>
          <w:tcPr>
            <w:tcW w:type="dxa" w:w="5100"/>
            <w:tcMar>
              <w:top w:w="90" w:type="dxa"/>
              <w:start w:w="90" w:type="dxa"/>
              <w:bottom w:w="90" w:type="dxa"/>
              <w:end w:w="90" w:type="dxa"/>
            </w:tcMar>
            <w:vAlign w:val="center"/>
          </w:tcPr>
          <w:p>
            <w:r>
              <w:rPr>
                <w:rFonts w:ascii="Aptos" w:hAnsi="Aptos"/>
                <w:sz w:val="18"/>
              </w:rPr>
              <w:t>Public</w:t>
            </w:r>
          </w:p>
        </w:tc>
      </w:tr>
      <w:tr>
        <w:tc>
          <w:tcPr>
            <w:tcW w:type="dxa" w:w="5100"/>
            <w:tcMar>
              <w:top w:w="90" w:type="dxa"/>
              <w:start w:w="90" w:type="dxa"/>
              <w:bottom w:w="90" w:type="dxa"/>
              <w:end w:w="90" w:type="dxa"/>
            </w:tcMar>
            <w:vAlign w:val="center"/>
            <w:shd w:fill="EEE7F1"/>
          </w:tcPr>
          <w:p>
            <w:r>
              <w:rPr>
                <w:rFonts w:ascii="Aptos" w:hAnsi="Aptos"/>
                <w:b/>
                <w:sz w:val="18"/>
              </w:rPr>
              <w:t>Applies to</w:t>
            </w:r>
          </w:p>
        </w:tc>
        <w:tc>
          <w:tcPr>
            <w:tcW w:type="dxa" w:w="5100"/>
            <w:tcMar>
              <w:top w:w="90" w:type="dxa"/>
              <w:start w:w="90" w:type="dxa"/>
              <w:bottom w:w="90" w:type="dxa"/>
              <w:end w:w="90" w:type="dxa"/>
            </w:tcMar>
            <w:vAlign w:val="center"/>
          </w:tcPr>
          <w:p>
            <w:r>
              <w:rPr>
                <w:rFonts w:ascii="Aptos" w:hAnsi="Aptos"/>
                <w:sz w:val="18"/>
              </w:rPr>
              <w:t>All Qualia Academy learners, staff, contractors, tutors, assessors, IQAs, delivery locations/centres and relevant stakeholders</w:t>
            </w:r>
          </w:p>
        </w:tc>
      </w:tr>
      <w:tr>
        <w:tc>
          <w:tcPr>
            <w:tcW w:type="dxa" w:w="5100"/>
            <w:tcMar>
              <w:top w:w="90" w:type="dxa"/>
              <w:start w:w="90" w:type="dxa"/>
              <w:bottom w:w="90" w:type="dxa"/>
              <w:end w:w="90" w:type="dxa"/>
            </w:tcMar>
            <w:vAlign w:val="center"/>
            <w:shd w:fill="EEE7F1"/>
          </w:tcPr>
          <w:p>
            <w:r>
              <w:rPr>
                <w:rFonts w:ascii="Aptos" w:hAnsi="Aptos"/>
                <w:b/>
                <w:sz w:val="18"/>
              </w:rPr>
              <w:t>Supersedes</w:t>
            </w:r>
          </w:p>
        </w:tc>
        <w:tc>
          <w:tcPr>
            <w:tcW w:type="dxa" w:w="5100"/>
            <w:tcMar>
              <w:top w:w="90" w:type="dxa"/>
              <w:start w:w="90" w:type="dxa"/>
              <w:bottom w:w="90" w:type="dxa"/>
              <w:end w:w="90" w:type="dxa"/>
            </w:tcMar>
            <w:vAlign w:val="center"/>
          </w:tcPr>
          <w:p>
            <w:r>
              <w:rPr>
                <w:rFonts w:ascii="Aptos" w:hAnsi="Aptos"/>
                <w:sz w:val="18"/>
              </w:rPr>
              <w:t>V7:PMP2026</w:t>
            </w:r>
          </w:p>
        </w:tc>
      </w:tr>
      <w:tr>
        <w:tc>
          <w:tcPr>
            <w:tcW w:type="dxa" w:w="5100"/>
            <w:tcMar>
              <w:top w:w="90" w:type="dxa"/>
              <w:start w:w="90" w:type="dxa"/>
              <w:bottom w:w="90" w:type="dxa"/>
              <w:end w:w="90" w:type="dxa"/>
            </w:tcMar>
            <w:vAlign w:val="center"/>
            <w:shd w:fill="EEE7F1"/>
          </w:tcPr>
          <w:p>
            <w:r>
              <w:rPr>
                <w:rFonts w:ascii="Aptos" w:hAnsi="Aptos"/>
                <w:b/>
                <w:sz w:val="18"/>
              </w:rPr>
              <w:t>Review cycle</w:t>
            </w:r>
          </w:p>
        </w:tc>
        <w:tc>
          <w:tcPr>
            <w:tcW w:type="dxa" w:w="5100"/>
            <w:tcMar>
              <w:top w:w="90" w:type="dxa"/>
              <w:start w:w="90" w:type="dxa"/>
              <w:bottom w:w="90" w:type="dxa"/>
              <w:end w:w="90" w:type="dxa"/>
            </w:tcMar>
            <w:vAlign w:val="center"/>
          </w:tcPr>
          <w:p>
            <w:r>
              <w:rPr>
                <w:rFonts w:ascii="Aptos" w:hAnsi="Aptos"/>
                <w:sz w:val="18"/>
              </w:rPr>
              <w:t>At least annually on 21 January and sooner where regulation, Awarding Organisation / apprenticeship Assessment Organisation / legacy EPAO requirements, assessment practice, technology or risk materially changes</w:t>
            </w:r>
          </w:p>
        </w:tc>
      </w:tr>
    </w:tbl>
    <w:p/>
    <w:p>
      <w:pPr>
        <w:pStyle w:val="Heading1"/>
      </w:pPr>
      <w:r>
        <w:rPr>
          <w:rFonts w:ascii="Aptos" w:hAnsi="Aptos"/>
          <w:b/>
          <w:color w:val="764689"/>
        </w:rPr>
        <w:t>Version Control and Change History</w:t>
      </w:r>
    </w:p>
    <w:p>
      <w:pPr>
        <w:spacing w:after="100" w:line="259" w:lineRule="auto"/>
      </w:pPr>
      <w:r>
        <w:rPr>
          <w:rFonts w:ascii="Aptos" w:hAnsi="Aptos"/>
        </w:rPr>
        <w:t>Annual policy review dates are aligned to 21 January. V7.1:PMP2026 is an interim update dated 10 August 2026 because material regulatory and assessment changes occurred after the scheduled January review. The next scheduled annual review remains 21 January 2027.</w:t>
      </w:r>
    </w:p>
    <w:tbl>
      <w:tblPr>
        <w:tblW w:type="auto" w:w="0"/>
        <w:jc w:val="center"/>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2550"/>
        <w:gridCol w:w="2550"/>
        <w:gridCol w:w="2550"/>
        <w:gridCol w:w="2550"/>
      </w:tblGrid>
      <w:tr>
        <w:trPr>
          <w:tblHeader w:val="true"/>
        </w:trPr>
        <w:tc>
          <w:tcPr>
            <w:tcW w:type="dxa" w:w="2550"/>
            <w:shd w:fill="EEE7F1"/>
            <w:tcMar>
              <w:top w:w="90" w:type="dxa"/>
              <w:start w:w="90" w:type="dxa"/>
              <w:bottom w:w="90" w:type="dxa"/>
              <w:end w:w="90" w:type="dxa"/>
            </w:tcMar>
          </w:tcPr>
          <w:p>
            <w:r>
              <w:rPr>
                <w:rFonts w:ascii="Aptos" w:hAnsi="Aptos"/>
                <w:b/>
                <w:sz w:val="15"/>
              </w:rPr>
              <w:t>Version</w:t>
            </w:r>
          </w:p>
        </w:tc>
        <w:tc>
          <w:tcPr>
            <w:tcW w:type="dxa" w:w="2550"/>
            <w:shd w:fill="EEE7F1"/>
            <w:tcMar>
              <w:top w:w="90" w:type="dxa"/>
              <w:start w:w="90" w:type="dxa"/>
              <w:bottom w:w="90" w:type="dxa"/>
              <w:end w:w="90" w:type="dxa"/>
            </w:tcMar>
          </w:tcPr>
          <w:p>
            <w:r>
              <w:rPr>
                <w:rFonts w:ascii="Aptos" w:hAnsi="Aptos"/>
                <w:b/>
                <w:sz w:val="15"/>
              </w:rPr>
              <w:t>Date of substantive change</w:t>
            </w:r>
          </w:p>
        </w:tc>
        <w:tc>
          <w:tcPr>
            <w:tcW w:type="dxa" w:w="2550"/>
            <w:shd w:fill="EEE7F1"/>
            <w:tcMar>
              <w:top w:w="90" w:type="dxa"/>
              <w:start w:w="90" w:type="dxa"/>
              <w:bottom w:w="90" w:type="dxa"/>
              <w:end w:w="90" w:type="dxa"/>
            </w:tcMar>
          </w:tcPr>
          <w:p>
            <w:r>
              <w:rPr>
                <w:rFonts w:ascii="Aptos" w:hAnsi="Aptos"/>
                <w:b/>
                <w:sz w:val="15"/>
              </w:rPr>
              <w:t>Substantive change narrative</w:t>
            </w:r>
          </w:p>
        </w:tc>
        <w:tc>
          <w:tcPr>
            <w:tcW w:type="dxa" w:w="2550"/>
            <w:shd w:fill="EEE7F1"/>
            <w:tcMar>
              <w:top w:w="90" w:type="dxa"/>
              <w:start w:w="90" w:type="dxa"/>
              <w:bottom w:w="90" w:type="dxa"/>
              <w:end w:w="90" w:type="dxa"/>
            </w:tcMar>
          </w:tcPr>
          <w:p>
            <w:r>
              <w:rPr>
                <w:rFonts w:ascii="Aptos" w:hAnsi="Aptos"/>
                <w:b/>
                <w:sz w:val="15"/>
              </w:rPr>
              <w:t>Author / owner</w:t>
            </w:r>
          </w:p>
        </w:tc>
      </w:tr>
      <w:tr>
        <w:trPr>
          <w:cantSplit/>
        </w:trPr>
        <w:tc>
          <w:tcPr>
            <w:tcW w:type="dxa" w:w="2550"/>
            <w:tcMar>
              <w:top w:w="75" w:type="dxa"/>
              <w:start w:w="75" w:type="dxa"/>
              <w:bottom w:w="75" w:type="dxa"/>
              <w:end w:w="75" w:type="dxa"/>
            </w:tcMar>
          </w:tcPr>
          <w:p>
            <w:r>
              <w:rPr>
                <w:rFonts w:ascii="Aptos" w:hAnsi="Aptos"/>
                <w:b/>
                <w:sz w:val="15"/>
              </w:rPr>
              <w:t>V1:PMP2020</w:t>
            </w:r>
          </w:p>
        </w:tc>
        <w:tc>
          <w:tcPr>
            <w:tcW w:type="dxa" w:w="2550"/>
            <w:tcMar>
              <w:top w:w="75" w:type="dxa"/>
              <w:start w:w="75" w:type="dxa"/>
              <w:bottom w:w="75" w:type="dxa"/>
              <w:end w:w="75" w:type="dxa"/>
            </w:tcMar>
          </w:tcPr>
          <w:p>
            <w:r>
              <w:rPr>
                <w:rFonts w:ascii="Aptos" w:hAnsi="Aptos"/>
                <w:b w:val="0"/>
                <w:sz w:val="15"/>
              </w:rPr>
              <w:t>21/01/2020</w:t>
            </w:r>
          </w:p>
        </w:tc>
        <w:tc>
          <w:tcPr>
            <w:tcW w:type="dxa" w:w="2550"/>
            <w:tcMar>
              <w:top w:w="75" w:type="dxa"/>
              <w:start w:w="75" w:type="dxa"/>
              <w:bottom w:w="75" w:type="dxa"/>
              <w:end w:w="75" w:type="dxa"/>
            </w:tcMar>
          </w:tcPr>
          <w:p>
            <w:r>
              <w:rPr>
                <w:rFonts w:ascii="Aptos" w:hAnsi="Aptos"/>
                <w:b w:val="0"/>
                <w:sz w:val="15"/>
              </w:rPr>
              <w:t>First publication. Established the scope and purpose of the Plagiarism and Malpractice Policy; application to learners, staff and Qualia Academy centres; definitions of malpractice, maladministration and plagiarism; learner, tutor/assessor, IV/IQA, Quality Manager and Principal responsibilities; examples of learner, staff and centre malpractice/maladministration; identification and investigation stages; sanctions and disciplinary links; associated documents; annual monitoring and review; and Appendix 1 covering academic theft and authenticity of practical/commercial training evidence.</w:t>
            </w:r>
          </w:p>
        </w:tc>
        <w:tc>
          <w:tcPr>
            <w:tcW w:type="dxa" w:w="2550"/>
            <w:tcMar>
              <w:top w:w="75" w:type="dxa"/>
              <w:start w:w="75" w:type="dxa"/>
              <w:bottom w:w="75" w:type="dxa"/>
              <w:end w:w="75" w:type="dxa"/>
            </w:tcMar>
          </w:tcPr>
          <w:p>
            <w:r>
              <w:rPr>
                <w:rFonts w:ascii="Aptos" w:hAnsi="Aptos"/>
                <w:b w:val="0"/>
                <w:sz w:val="15"/>
              </w:rPr>
              <w:t>Kirsty Watson</w:t>
            </w:r>
          </w:p>
        </w:tc>
      </w:tr>
      <w:tr>
        <w:trPr>
          <w:cantSplit/>
        </w:trPr>
        <w:tc>
          <w:tcPr>
            <w:tcW w:type="dxa" w:w="2550"/>
            <w:tcMar>
              <w:top w:w="75" w:type="dxa"/>
              <w:start w:w="75" w:type="dxa"/>
              <w:bottom w:w="75" w:type="dxa"/>
              <w:end w:w="75" w:type="dxa"/>
            </w:tcMar>
          </w:tcPr>
          <w:p>
            <w:r>
              <w:rPr>
                <w:rFonts w:ascii="Aptos" w:hAnsi="Aptos"/>
                <w:b/>
                <w:sz w:val="15"/>
              </w:rPr>
              <w:t>V2:PMP2021</w:t>
            </w:r>
          </w:p>
        </w:tc>
        <w:tc>
          <w:tcPr>
            <w:tcW w:type="dxa" w:w="2550"/>
            <w:tcMar>
              <w:top w:w="75" w:type="dxa"/>
              <w:start w:w="75" w:type="dxa"/>
              <w:bottom w:w="75" w:type="dxa"/>
              <w:end w:w="75" w:type="dxa"/>
            </w:tcMar>
          </w:tcPr>
          <w:p>
            <w:r>
              <w:rPr>
                <w:rFonts w:ascii="Aptos" w:hAnsi="Aptos"/>
                <w:b w:val="0"/>
                <w:sz w:val="15"/>
              </w:rPr>
              <w:t>21/01/2021</w:t>
            </w:r>
          </w:p>
        </w:tc>
        <w:tc>
          <w:tcPr>
            <w:tcW w:type="dxa" w:w="2550"/>
            <w:tcMar>
              <w:top w:w="75" w:type="dxa"/>
              <w:start w:w="75" w:type="dxa"/>
              <w:bottom w:w="75" w:type="dxa"/>
              <w:end w:w="75" w:type="dxa"/>
            </w:tcMar>
          </w:tcPr>
          <w:p>
            <w:r>
              <w:rPr>
                <w:rFonts w:ascii="Aptos" w:hAnsi="Aptos"/>
                <w:b w:val="0"/>
                <w:sz w:val="15"/>
              </w:rPr>
              <w:t>Annual review and substantive consolidation. Strengthened learner declarations of authenticity and source acknowledgement; clarified that assessed work must be the learner’s own and that previously assessed work must not be reused unless expressly permitted; expanded examples to include ICT-assisted copying, collusion, impersonation, fabrication, false declarations, unauthorised access to assessment material, insecure assessment records, fraudulent certification claims, improper prompting and unmanaged conflicts of interest. Clarified Awarding Organisation/EPAO requirements taking precedence and strengthened controls around the authenticity of images, footage and evidence submitted for practical or commercial training assessment.</w:t>
            </w:r>
          </w:p>
        </w:tc>
        <w:tc>
          <w:tcPr>
            <w:tcW w:type="dxa" w:w="2550"/>
            <w:tcMar>
              <w:top w:w="75" w:type="dxa"/>
              <w:start w:w="75" w:type="dxa"/>
              <w:bottom w:w="75" w:type="dxa"/>
              <w:end w:w="75" w:type="dxa"/>
            </w:tcMar>
          </w:tcPr>
          <w:p>
            <w:r>
              <w:rPr>
                <w:rFonts w:ascii="Aptos" w:hAnsi="Aptos"/>
                <w:b w:val="0"/>
                <w:sz w:val="15"/>
              </w:rPr>
              <w:t>Kirsty Watson</w:t>
            </w:r>
          </w:p>
        </w:tc>
      </w:tr>
      <w:tr>
        <w:trPr>
          <w:cantSplit/>
        </w:trPr>
        <w:tc>
          <w:tcPr>
            <w:tcW w:type="dxa" w:w="2550"/>
            <w:tcMar>
              <w:top w:w="75" w:type="dxa"/>
              <w:start w:w="75" w:type="dxa"/>
              <w:bottom w:w="75" w:type="dxa"/>
              <w:end w:w="75" w:type="dxa"/>
            </w:tcMar>
          </w:tcPr>
          <w:p>
            <w:r>
              <w:rPr>
                <w:rFonts w:ascii="Aptos" w:hAnsi="Aptos"/>
                <w:b/>
                <w:sz w:val="15"/>
              </w:rPr>
              <w:t>V3:PMP2022</w:t>
            </w:r>
          </w:p>
        </w:tc>
        <w:tc>
          <w:tcPr>
            <w:tcW w:type="dxa" w:w="2550"/>
            <w:tcMar>
              <w:top w:w="75" w:type="dxa"/>
              <w:start w:w="75" w:type="dxa"/>
              <w:bottom w:w="75" w:type="dxa"/>
              <w:end w:w="75" w:type="dxa"/>
            </w:tcMar>
          </w:tcPr>
          <w:p>
            <w:r>
              <w:rPr>
                <w:rFonts w:ascii="Aptos" w:hAnsi="Aptos"/>
                <w:b w:val="0"/>
                <w:sz w:val="15"/>
              </w:rPr>
              <w:t>21/01/2022</w:t>
            </w:r>
          </w:p>
        </w:tc>
        <w:tc>
          <w:tcPr>
            <w:tcW w:type="dxa" w:w="2550"/>
            <w:tcMar>
              <w:top w:w="75" w:type="dxa"/>
              <w:start w:w="75" w:type="dxa"/>
              <w:bottom w:w="75" w:type="dxa"/>
              <w:end w:w="75" w:type="dxa"/>
            </w:tcMar>
          </w:tcPr>
          <w:p>
            <w:r>
              <w:rPr>
                <w:rFonts w:ascii="Aptos" w:hAnsi="Aptos"/>
                <w:b w:val="0"/>
                <w:sz w:val="15"/>
              </w:rPr>
              <w:t>Updated following Ofqual’s expanded guidance on malpractice and maladministration published in November 2021. Strengthened prevention duties, proportionate and objective investigation, prompt action where malpractice or maladministration may create an adverse effect, documented investigation outcomes, external notification to relevant Awarding Organisations/EPAOs/regulators, opportunities for the person concerned to respond and appeal, conflict-of-interest arrangements, management oversight, retention of investigation records and corrective action to reduce the risk of recurrence.</w:t>
            </w:r>
          </w:p>
        </w:tc>
        <w:tc>
          <w:tcPr>
            <w:tcW w:type="dxa" w:w="2550"/>
            <w:tcMar>
              <w:top w:w="75" w:type="dxa"/>
              <w:start w:w="75" w:type="dxa"/>
              <w:bottom w:w="75" w:type="dxa"/>
              <w:end w:w="75" w:type="dxa"/>
            </w:tcMar>
          </w:tcPr>
          <w:p>
            <w:r>
              <w:rPr>
                <w:rFonts w:ascii="Aptos" w:hAnsi="Aptos"/>
                <w:b w:val="0"/>
                <w:sz w:val="15"/>
              </w:rPr>
              <w:t>Kirsty Watson</w:t>
            </w:r>
          </w:p>
        </w:tc>
      </w:tr>
      <w:tr>
        <w:trPr>
          <w:cantSplit/>
        </w:trPr>
        <w:tc>
          <w:tcPr>
            <w:tcW w:type="dxa" w:w="2550"/>
            <w:tcMar>
              <w:top w:w="75" w:type="dxa"/>
              <w:start w:w="75" w:type="dxa"/>
              <w:bottom w:w="75" w:type="dxa"/>
              <w:end w:w="75" w:type="dxa"/>
            </w:tcMar>
          </w:tcPr>
          <w:p>
            <w:r>
              <w:rPr>
                <w:rFonts w:ascii="Aptos" w:hAnsi="Aptos"/>
                <w:b/>
                <w:sz w:val="15"/>
              </w:rPr>
              <w:t>V4:PMP2023</w:t>
            </w:r>
          </w:p>
        </w:tc>
        <w:tc>
          <w:tcPr>
            <w:tcW w:type="dxa" w:w="2550"/>
            <w:tcMar>
              <w:top w:w="75" w:type="dxa"/>
              <w:start w:w="75" w:type="dxa"/>
              <w:bottom w:w="75" w:type="dxa"/>
              <w:end w:w="75" w:type="dxa"/>
            </w:tcMar>
          </w:tcPr>
          <w:p>
            <w:r>
              <w:rPr>
                <w:rFonts w:ascii="Aptos" w:hAnsi="Aptos"/>
                <w:b w:val="0"/>
                <w:sz w:val="15"/>
              </w:rPr>
              <w:t>21/01/2023</w:t>
            </w:r>
          </w:p>
        </w:tc>
        <w:tc>
          <w:tcPr>
            <w:tcW w:type="dxa" w:w="2550"/>
            <w:tcMar>
              <w:top w:w="75" w:type="dxa"/>
              <w:start w:w="75" w:type="dxa"/>
              <w:bottom w:w="75" w:type="dxa"/>
              <w:end w:w="75" w:type="dxa"/>
            </w:tcMar>
          </w:tcPr>
          <w:p>
            <w:r>
              <w:rPr>
                <w:rFonts w:ascii="Aptos" w:hAnsi="Aptos"/>
                <w:b w:val="0"/>
                <w:sz w:val="15"/>
              </w:rPr>
              <w:t>Annual review reflecting increased digital/remote assessment and the emerging use of publicly available generative-AI tools. Added explicit controls around digital authorship and AI-assisted work; reinforced that learner analysis, evaluation, judgements and calculations must remain the learner’s own; strengthened declarations of authenticity and disclosure of external sources/tools; expanded authenticity checks to include questioning the learner, comparing work with known performance, reviewing working files/version evidence where available, and retaining secure electronic assessment evidence. Staff awareness and training requirements were strengthened.</w:t>
            </w:r>
          </w:p>
        </w:tc>
        <w:tc>
          <w:tcPr>
            <w:tcW w:type="dxa" w:w="2550"/>
            <w:tcMar>
              <w:top w:w="75" w:type="dxa"/>
              <w:start w:w="75" w:type="dxa"/>
              <w:bottom w:w="75" w:type="dxa"/>
              <w:end w:w="75" w:type="dxa"/>
            </w:tcMar>
          </w:tcPr>
          <w:p>
            <w:r>
              <w:rPr>
                <w:rFonts w:ascii="Aptos" w:hAnsi="Aptos"/>
                <w:b w:val="0"/>
                <w:sz w:val="15"/>
              </w:rPr>
              <w:t>Kirsty Watson</w:t>
            </w:r>
          </w:p>
        </w:tc>
      </w:tr>
      <w:tr>
        <w:trPr>
          <w:cantSplit/>
        </w:trPr>
        <w:tc>
          <w:tcPr>
            <w:tcW w:type="dxa" w:w="2550"/>
            <w:tcMar>
              <w:top w:w="75" w:type="dxa"/>
              <w:start w:w="75" w:type="dxa"/>
              <w:bottom w:w="75" w:type="dxa"/>
              <w:end w:w="75" w:type="dxa"/>
            </w:tcMar>
          </w:tcPr>
          <w:p>
            <w:r>
              <w:rPr>
                <w:rFonts w:ascii="Aptos" w:hAnsi="Aptos"/>
                <w:b/>
                <w:sz w:val="15"/>
              </w:rPr>
              <w:t>V5:PMP2024</w:t>
            </w:r>
          </w:p>
        </w:tc>
        <w:tc>
          <w:tcPr>
            <w:tcW w:type="dxa" w:w="2550"/>
            <w:tcMar>
              <w:top w:w="75" w:type="dxa"/>
              <w:start w:w="75" w:type="dxa"/>
              <w:bottom w:w="75" w:type="dxa"/>
              <w:end w:w="75" w:type="dxa"/>
            </w:tcMar>
          </w:tcPr>
          <w:p>
            <w:r>
              <w:rPr>
                <w:rFonts w:ascii="Aptos" w:hAnsi="Aptos"/>
                <w:b w:val="0"/>
                <w:sz w:val="15"/>
              </w:rPr>
              <w:t>21/01/2024</w:t>
            </w:r>
          </w:p>
        </w:tc>
        <w:tc>
          <w:tcPr>
            <w:tcW w:type="dxa" w:w="2550"/>
            <w:tcMar>
              <w:top w:w="75" w:type="dxa"/>
              <w:start w:w="75" w:type="dxa"/>
              <w:bottom w:w="75" w:type="dxa"/>
              <w:end w:w="75" w:type="dxa"/>
            </w:tcMar>
          </w:tcPr>
          <w:p>
            <w:r>
              <w:rPr>
                <w:rFonts w:ascii="Aptos" w:hAnsi="Aptos"/>
                <w:b w:val="0"/>
                <w:sz w:val="15"/>
              </w:rPr>
              <w:t>Major AI update following the first JCQ AI-in-assessment guidance (April 2023) and the Department for Education’s generative-AI position and October 2023 update. Defined misuse of AI in assessment as malpractice and added examples including copying or paraphrasing AI-generated content, using AI to complete assessed analysis/evaluation/calculations, failing to acknowledge AI use, poor or incomplete AI acknowledgement, and false or misleading references. Introduced clearer permitted/prohibited AI expectations, learner declaration and acknowledgement requirements, staff/learner induction, authenticity checking, and controls relating to data privacy and intellectual property.</w:t>
            </w:r>
          </w:p>
        </w:tc>
        <w:tc>
          <w:tcPr>
            <w:tcW w:type="dxa" w:w="2550"/>
            <w:tcMar>
              <w:top w:w="75" w:type="dxa"/>
              <w:start w:w="75" w:type="dxa"/>
              <w:bottom w:w="75" w:type="dxa"/>
              <w:end w:w="75" w:type="dxa"/>
            </w:tcMar>
          </w:tcPr>
          <w:p>
            <w:r>
              <w:rPr>
                <w:rFonts w:ascii="Aptos" w:hAnsi="Aptos"/>
                <w:b w:val="0"/>
                <w:sz w:val="15"/>
              </w:rPr>
              <w:t>Kirsty Watson</w:t>
            </w:r>
          </w:p>
        </w:tc>
      </w:tr>
      <w:tr>
        <w:trPr>
          <w:cantSplit/>
        </w:trPr>
        <w:tc>
          <w:tcPr>
            <w:tcW w:type="dxa" w:w="2550"/>
            <w:tcMar>
              <w:top w:w="75" w:type="dxa"/>
              <w:start w:w="75" w:type="dxa"/>
              <w:bottom w:w="75" w:type="dxa"/>
              <w:end w:w="75" w:type="dxa"/>
            </w:tcMar>
          </w:tcPr>
          <w:p>
            <w:r>
              <w:rPr>
                <w:rFonts w:ascii="Aptos" w:hAnsi="Aptos"/>
                <w:b/>
                <w:sz w:val="15"/>
              </w:rPr>
              <w:t>V6:PMP2025</w:t>
            </w:r>
          </w:p>
        </w:tc>
        <w:tc>
          <w:tcPr>
            <w:tcW w:type="dxa" w:w="2550"/>
            <w:tcMar>
              <w:top w:w="75" w:type="dxa"/>
              <w:start w:w="75" w:type="dxa"/>
              <w:bottom w:w="75" w:type="dxa"/>
              <w:end w:w="75" w:type="dxa"/>
            </w:tcMar>
          </w:tcPr>
          <w:p>
            <w:r>
              <w:rPr>
                <w:rFonts w:ascii="Aptos" w:hAnsi="Aptos"/>
                <w:b w:val="0"/>
                <w:sz w:val="15"/>
              </w:rPr>
              <w:t>21/01/2025</w:t>
            </w:r>
          </w:p>
        </w:tc>
        <w:tc>
          <w:tcPr>
            <w:tcW w:type="dxa" w:w="2550"/>
            <w:tcMar>
              <w:top w:w="75" w:type="dxa"/>
              <w:start w:w="75" w:type="dxa"/>
              <w:bottom w:w="75" w:type="dxa"/>
              <w:end w:w="75" w:type="dxa"/>
            </w:tcMar>
          </w:tcPr>
          <w:p>
            <w:r>
              <w:rPr>
                <w:rFonts w:ascii="Aptos" w:hAnsi="Aptos"/>
                <w:b w:val="0"/>
                <w:sz w:val="15"/>
              </w:rPr>
              <w:t>Expanded AI governance in response to the rapid development of generative and multimodal tools and 2024 education-sector research. Introduced assessment-specific AI statuses (AI prohibited, AI limited, AI permitted with declaration, and AI integrated); clarified staff use of AI in teaching, feedback, marking and internal quality assurance while retaining human responsibility for assessment decisions; added risks relating to hallucination, bias, confidentiality, personal/special-category data, copyright and intellectual property; extended the policy to AI-generated images, audio and video; clarified reasonable-adjustment and assistive-technology considerations; and strengthened the evidence-gathering process for suspected AI misuse so that automated/similarity indicators are considered alongside wider authenticity evidence.</w:t>
            </w:r>
          </w:p>
        </w:tc>
        <w:tc>
          <w:tcPr>
            <w:tcW w:type="dxa" w:w="2550"/>
            <w:tcMar>
              <w:top w:w="75" w:type="dxa"/>
              <w:start w:w="75" w:type="dxa"/>
              <w:bottom w:w="75" w:type="dxa"/>
              <w:end w:w="75" w:type="dxa"/>
            </w:tcMar>
          </w:tcPr>
          <w:p>
            <w:r>
              <w:rPr>
                <w:rFonts w:ascii="Aptos" w:hAnsi="Aptos"/>
                <w:b w:val="0"/>
                <w:sz w:val="15"/>
              </w:rPr>
              <w:t>Kirsty Watson</w:t>
            </w:r>
          </w:p>
        </w:tc>
      </w:tr>
      <w:tr>
        <w:trPr>
          <w:cantSplit/>
        </w:trPr>
        <w:tc>
          <w:tcPr>
            <w:tcW w:type="dxa" w:w="2550"/>
            <w:tcMar>
              <w:top w:w="75" w:type="dxa"/>
              <w:start w:w="75" w:type="dxa"/>
              <w:bottom w:w="75" w:type="dxa"/>
              <w:end w:w="75" w:type="dxa"/>
            </w:tcMar>
          </w:tcPr>
          <w:p>
            <w:r>
              <w:rPr>
                <w:rFonts w:ascii="Aptos" w:hAnsi="Aptos"/>
                <w:b/>
                <w:sz w:val="15"/>
              </w:rPr>
              <w:t>V7:PMP2026</w:t>
            </w:r>
          </w:p>
        </w:tc>
        <w:tc>
          <w:tcPr>
            <w:tcW w:type="dxa" w:w="2550"/>
            <w:tcMar>
              <w:top w:w="75" w:type="dxa"/>
              <w:start w:w="75" w:type="dxa"/>
              <w:bottom w:w="75" w:type="dxa"/>
              <w:end w:w="75" w:type="dxa"/>
            </w:tcMar>
          </w:tcPr>
          <w:p>
            <w:r>
              <w:rPr>
                <w:rFonts w:ascii="Aptos" w:hAnsi="Aptos"/>
                <w:b w:val="0"/>
                <w:sz w:val="15"/>
              </w:rPr>
              <w:t>21/01/2026</w:t>
            </w:r>
          </w:p>
        </w:tc>
        <w:tc>
          <w:tcPr>
            <w:tcW w:type="dxa" w:w="2550"/>
            <w:tcMar>
              <w:top w:w="75" w:type="dxa"/>
              <w:start w:w="75" w:type="dxa"/>
              <w:bottom w:w="75" w:type="dxa"/>
              <w:end w:w="75" w:type="dxa"/>
            </w:tcMar>
          </w:tcPr>
          <w:p>
            <w:r>
              <w:rPr>
                <w:rFonts w:ascii="Aptos" w:hAnsi="Aptos"/>
                <w:b w:val="0"/>
                <w:sz w:val="15"/>
              </w:rPr>
              <w:t>Comprehensive review and reissue as the Qualia Academy Malpractice, Maladministration and AI Assessment Policy. Updated in light of 2025 JCQ AI guidance and its October 2025 revisions, the DfE’s 2025 generative-AI position, and the DfE generative-AI product-safety standards updated on 19 January 2026. Strengthened Head of Centre/management responsibilities; rules for disabling improper internet/AI access in controlled assessment; coverage of text, image, audio and video generation; clear learner and staff guidance; AI declarations and acknowledgement; holistic authenticity investigations rather than reliance on AI-detection scores alone; staff competence and training; human oversight of marking/IQA; data protection, confidentiality, copyright/IP, cyber-security and safe-tool selection; learner protection and manipulation risks; adverse-effect escalation; reporting, sanctions, appeals, whistleblowing and corrective actions. The learner, staff and centre malpractice/maladministration provisions and Qualia’s existing academic-theft/commercial practical-assessment controls were retained and integrated.</w:t>
            </w:r>
          </w:p>
        </w:tc>
        <w:tc>
          <w:tcPr>
            <w:tcW w:type="dxa" w:w="2550"/>
            <w:tcMar>
              <w:top w:w="75" w:type="dxa"/>
              <w:start w:w="75" w:type="dxa"/>
              <w:bottom w:w="75" w:type="dxa"/>
              <w:end w:w="75" w:type="dxa"/>
            </w:tcMar>
          </w:tcPr>
          <w:p>
            <w:r>
              <w:rPr>
                <w:rFonts w:ascii="Aptos" w:hAnsi="Aptos"/>
                <w:b w:val="0"/>
                <w:sz w:val="15"/>
              </w:rPr>
              <w:t>Kirsty Watson</w:t>
            </w:r>
          </w:p>
        </w:tc>
      </w:tr>
      <w:tr>
        <w:tc>
          <w:tcPr>
            <w:tcW w:type="dxa" w:w="2550"/>
          </w:tcPr>
          <w:p>
            <w:r>
              <w:rPr>
                <w:rFonts w:ascii="Aptos" w:hAnsi="Aptos"/>
                <w:sz w:val="15"/>
              </w:rPr>
              <w:t>V7.1:PMP2026</w:t>
            </w:r>
          </w:p>
        </w:tc>
        <w:tc>
          <w:tcPr>
            <w:tcW w:type="dxa" w:w="2550"/>
          </w:tcPr>
          <w:p>
            <w:r>
              <w:rPr>
                <w:rFonts w:ascii="Aptos" w:hAnsi="Aptos"/>
                <w:sz w:val="15"/>
              </w:rPr>
              <w:t>10/08/2026</w:t>
            </w:r>
          </w:p>
        </w:tc>
        <w:tc>
          <w:tcPr>
            <w:tcW w:type="dxa" w:w="2550"/>
          </w:tcPr>
          <w:p>
            <w:r>
              <w:rPr>
                <w:rFonts w:ascii="Aptos" w:hAnsi="Aptos"/>
                <w:sz w:val="15"/>
              </w:rPr>
              <w:t>Interim regulatory and policy update following material developments after the scheduled 21 January 2026 review. Updated the policy to reflect Ofqual's Artificial intelligence malpractice and assessment advice note (27 April 2026), Ofqual's updated approach to regulating AI in the qualifications sector (16 July 2026), the Apprenticeship Assessment Qualification Level Conditions, requirements and guidance effective from 1 April 2026, Skills England's Requirements for Apprenticeship Assessment published 19 June 2026, and the transfer of apprenticeship funding/skills responsibilities to the Department for Work and Pensions from 1 April 2026. Updated apprenticeship terminology to cover current Apprenticeship Assessment and Assessment Organisations while retaining legacy EPA/EPAO arrangements during transition; updated references to current assessment-year JCQ requirements; reflected full commencement of the data-protection provisions of the Data (Use and Access) Act 2025 by 19 June 2026; and incorporated the safeguarding implications of Keeping Children Safe in Education 2026 where Qualia delivers to learners under 18. The update also expands dedicated controls on collusion, cheating, contract cheating, enabling another learner to cheat, unauthorised communication and the use of technology/AI to facilitate unfair advantage, with clearer prevention, authentication, investigation and sanction principles.</w:t>
            </w:r>
          </w:p>
        </w:tc>
        <w:tc>
          <w:tcPr>
            <w:tcW w:type="dxa" w:w="2550"/>
          </w:tcPr>
          <w:p>
            <w:r>
              <w:rPr>
                <w:rFonts w:ascii="Aptos" w:hAnsi="Aptos"/>
                <w:sz w:val="15"/>
              </w:rPr>
              <w:t>Kirsty Watson</w:t>
            </w:r>
          </w:p>
        </w:tc>
      </w:tr>
    </w:tbl>
    <w:p>
      <w:pPr>
        <w:pStyle w:val="Heading1"/>
      </w:pPr>
      <w:r>
        <w:rPr>
          <w:rFonts w:ascii="Aptos" w:hAnsi="Aptos"/>
        </w:rPr>
        <w:t>Rationale for V7.1 Interim Update</w:t>
      </w:r>
    </w:p>
    <w:p>
      <w:r>
        <w:rPr>
          <w:rFonts w:ascii="Aptos" w:hAnsi="Aptos"/>
        </w:rPr>
        <w:t>V7.1 is an interim regulatory update rather than a replacement for the scheduled annual review carried out on 21 January 2026. The update was required because several material developments occurred after that date and before the next planned annual review. Qualia Academy has therefore updated the operative policy now rather than leaving known changes unaddressed until January 2027.</w:t>
      </w:r>
    </w:p>
    <w:p>
      <w:pPr>
        <w:pStyle w:val="ListBullet"/>
      </w:pPr>
      <w:r>
        <w:rPr>
          <w:rFonts w:ascii="Aptos" w:hAnsi="Aptos"/>
        </w:rPr>
        <w:t>Ofqual published Artificial intelligence malpractice and assessment - advice note on 27 April 2026, reinforcing the need to identify AI-related malpractice risk, take reasonable preventative steps and keep controls under review.</w:t>
      </w:r>
    </w:p>
    <w:p>
      <w:pPr>
        <w:pStyle w:val="ListBullet"/>
      </w:pPr>
      <w:r>
        <w:rPr>
          <w:rFonts w:ascii="Aptos" w:hAnsi="Aptos"/>
        </w:rPr>
        <w:t>Ofqual's Apprenticeship Assessment Qualification Level Conditions, requirements and guidance took effect on 1 April 2026, supporting the reformed Apprenticeship Assessment framework.</w:t>
      </w:r>
    </w:p>
    <w:p>
      <w:pPr>
        <w:pStyle w:val="ListBullet"/>
      </w:pPr>
      <w:r>
        <w:rPr>
          <w:rFonts w:ascii="Aptos" w:hAnsi="Aptos"/>
        </w:rPr>
        <w:t>Skills England published the final Requirements for Apprenticeship Assessment on 19 June 2026, replacing the earlier interim guidance and confirming the use of Apprenticeship Assessment Plans and the reformed model.</w:t>
      </w:r>
    </w:p>
    <w:p>
      <w:pPr>
        <w:pStyle w:val="ListBullet"/>
      </w:pPr>
      <w:r>
        <w:rPr>
          <w:rFonts w:ascii="Aptos" w:hAnsi="Aptos"/>
        </w:rPr>
        <w:t>Responsibility for apprenticeship funding guidance and Skills England moved to the Department for Work and Pensions on 1 April 2026, requiring departmental and external-reporting terminology to be updated.</w:t>
      </w:r>
    </w:p>
    <w:p>
      <w:pPr>
        <w:pStyle w:val="ListBullet"/>
      </w:pPr>
      <w:r>
        <w:rPr>
          <w:rFonts w:ascii="Aptos" w:hAnsi="Aptos"/>
        </w:rPr>
        <w:t>Ofqual updated its approach to regulating AI in the qualifications sector on 16 July 2026, emphasising learner fairness, validity, security, public confidence, responsible innovation and appropriate human oversight/accountability.</w:t>
      </w:r>
    </w:p>
    <w:p>
      <w:pPr>
        <w:pStyle w:val="ListBullet"/>
      </w:pPr>
      <w:r>
        <w:rPr>
          <w:rFonts w:ascii="Aptos" w:hAnsi="Aptos"/>
        </w:rPr>
        <w:t>All provisions of the Data (Use and Access) Act 2025 affecting data-protection law were commenced by 19 June 2026, requiring the data-protection and automated-decision-making wording to reflect the amended legal framework.</w:t>
      </w:r>
    </w:p>
    <w:p>
      <w:pPr>
        <w:pStyle w:val="ListBullet"/>
      </w:pPr>
      <w:r>
        <w:rPr>
          <w:rFonts w:ascii="Aptos" w:hAnsi="Aptos"/>
        </w:rPr>
        <w:t>Current JCQ requirements continue to treat copying/collusion, plagiarism, AI misuse, unauthorised materials, improper communication and other attempts to undermine assessment integrity as malpractice. The policy therefore uses current-assessment-year wording rather than hard-coding a superseded academic year.</w:t>
      </w:r>
    </w:p>
    <w:p>
      <w:pPr>
        <w:pStyle w:val="ListBullet"/>
      </w:pPr>
      <w:r>
        <w:rPr>
          <w:rFonts w:ascii="Aptos" w:hAnsi="Aptos"/>
        </w:rPr>
        <w:t>Keeping Children Safe in Education 2026 introduces updated references to safe and effective generative AI use, filtering and monitoring and cyber-security from 1 September 2026. These requirements are included where Qualia Academy delivers to learners under 18.</w:t>
      </w:r>
    </w:p>
    <w:p>
      <w:pPr>
        <w:pStyle w:val="ListBullet"/>
      </w:pPr>
      <w:r>
        <w:rPr>
          <w:rFonts w:ascii="Aptos" w:hAnsi="Aptos"/>
        </w:rPr>
        <w:t>Qualia Academy has also strengthened dedicated sections on collusion and cheating so that legitimate collaboration is clearly distinguished from unauthorised collaboration, contract cheating, enabling another learner to cheat, unauthorised communications and technology/AI-assisted unfair advantage.</w:t>
      </w:r>
    </w:p>
    <w:p>
      <w:r>
        <w:rPr>
          <w:rFonts w:ascii="Aptos" w:hAnsi="Aptos"/>
        </w:rPr>
        <w:t>This interim update does not reset the annual review cycle. The next scheduled review remains 21 January 2027, unless a further material regulatory, technological or assessment change requires an earlier review.</w:t>
      </w:r>
    </w:p>
    <w:p>
      <w:pPr>
        <w:spacing w:before="240"/>
        <w:jc w:val="center"/>
      </w:pPr>
      <w:r>
        <w:rPr>
          <w:rFonts w:ascii="Aptos" w:hAnsi="Aptos"/>
          <w:b/>
          <w:color w:val="764689"/>
          <w:sz w:val="20"/>
        </w:rPr>
        <w:t>END OF POLICY</w:t>
      </w:r>
    </w:p>
    <w:sectPr w:rsidR="00FC693F" w:rsidRPr="0006063C" w:rsidSect="00034616">
      <w:headerReference w:type="default" r:id="rId9"/>
      <w:footerReference w:type="default" r:id="rId10"/>
      <w:pgSz w:w="12240" w:h="15840"/>
      <w:pgMar w:top="964" w:right="1020" w:bottom="964" w:left="1020"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3250"/>
      <w:gridCol w:w="3250"/>
      <w:gridCol w:w="3250"/>
    </w:tblGrid>
    <w:tr>
      <w:tc>
        <w:tcPr>
          <w:tcW w:type="dxa" w:w="3250"/>
          <w:tcMar>
            <w:top w:w="0" w:type="dxa"/>
            <w:start w:w="0" w:type="dxa"/>
            <w:bottom w:w="0" w:type="dxa"/>
            <w:end w:w="0" w:type="dxa"/>
          </w:tcMar>
        </w:tcPr>
        <w:p>
          <w:pPr>
            <w:jc w:val="left"/>
          </w:pPr>
          <w:r>
            <w:rPr>
              <w:rFonts w:ascii="Aptos" w:hAnsi="Aptos"/>
              <w:color w:val="5F5F5F"/>
              <w:sz w:val="15"/>
            </w:rPr>
            <w:t>V7.1:PMP2026 | Public</w:t>
          </w:r>
        </w:p>
      </w:tc>
      <w:tc>
        <w:tcPr>
          <w:tcW w:type="dxa" w:w="3250"/>
          <w:tcMar>
            <w:top w:w="0" w:type="dxa"/>
            <w:start w:w="0" w:type="dxa"/>
            <w:bottom w:w="0" w:type="dxa"/>
            <w:end w:w="0" w:type="dxa"/>
          </w:tcMar>
        </w:tcPr>
        <w:p>
          <w:pPr>
            <w:jc w:val="center"/>
          </w:pPr>
          <w:r>
            <w:rPr>
              <w:rFonts w:ascii="Aptos" w:hAnsi="Aptos"/>
              <w:color w:val="5F5F5F"/>
              <w:sz w:val="15"/>
            </w:rPr>
            <w:t>Qualia Academy</w:t>
          </w:r>
        </w:p>
      </w:tc>
      <w:tc>
        <w:tcPr>
          <w:tcW w:type="dxa" w:w="3250"/>
          <w:tcMar>
            <w:top w:w="0" w:type="dxa"/>
            <w:start w:w="0" w:type="dxa"/>
            <w:bottom w:w="0" w:type="dxa"/>
            <w:end w:w="0" w:type="dxa"/>
          </w:tcMar>
        </w:tcPr>
        <w:p>
          <w:pPr>
            <w:jc w:val="right"/>
          </w:pPr>
          <w:r>
            <w:rPr>
              <w:rFonts w:ascii="Aptos" w:hAnsi="Aptos"/>
              <w:color w:val="5F5F5F"/>
              <w:sz w:val="15"/>
            </w:rPr>
            <w:t xml:space="preserve">Page </w:t>
          </w:r>
          <w:r>
            <w:fldChar w:fldCharType="begin"/>
            <w:instrText xml:space="preserve">PAGE</w:instrText>
            <w:fldChar w:fldCharType="end"/>
          </w:r>
          <w:r>
            <w:rPr>
              <w:rFonts w:ascii="Aptos" w:hAnsi="Aptos"/>
              <w:color w:val="5F5F5F"/>
              <w:sz w:val="15"/>
            </w:rPr>
            <w:t xml:space="preserve"> of </w:t>
          </w:r>
          <w:r>
            <w:fldChar w:fldCharType="begin"/>
            <w:instrText xml:space="preserve">NUMPAGES</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F5F5F"/>
        <w:sz w:val="15"/>
      </w:rPr>
      <w:t>Qualia Academy | Malpractice, Maladministration, Plagiarism &amp; AI in Assessment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ptos" w:hAnsi="Aptos"/>
      <w:b/>
      <w:bCs/>
      <w:color w:val="764689"/>
      <w:sz w:val="29"/>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2D3F98"/>
      <w:sz w:val="23"/>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b/>
      <w:bCs/>
      <w:color w:val="2D3F9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80"/>
      <w:contextualSpacing/>
    </w:pPr>
    <w:rPr>
      <w:rFonts w:asciiTheme="majorHAnsi" w:eastAsiaTheme="majorEastAsia" w:hAnsiTheme="majorHAnsi" w:cstheme="majorBidi" w:ascii="Aptos" w:hAnsi="Aptos"/>
      <w:b/>
      <w:color w:val="764689"/>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Qualia Academy Malpractice, Maladministration, Plagiarism and AI in Assessment Policy 2026</dc:title>
  <dc:subject>Assessment integrity, malpractice, maladministration, plagiarism and artificial intelligence</dc:subject>
  <dc:creator>Qualia Academy</dc:creator>
  <cp:keywords>malpractice, maladministration, plagiarism, AI, assessment, Qualia Academy, V7:PMP2026</cp:keywords>
  <dc:description>generated by python-docx</dc:description>
  <cp:lastModifiedBy/>
  <cp:revision>1</cp:revision>
  <dcterms:created xsi:type="dcterms:W3CDTF">2013-12-23T23:15:00Z</dcterms:created>
  <dcterms:modified xsi:type="dcterms:W3CDTF">2013-12-23T23:15:00Z</dcterms:modified>
  <cp:category/>
</cp:coreProperties>
</file>