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rFonts w:ascii="Aptos Display" w:hAnsi="Aptos Display"/>
          <w:b/>
          <w:color w:val="7E4A9A"/>
          <w:sz w:val="30"/>
        </w:rPr>
        <w:t>QUALIA ACADEMY</w:t>
      </w:r>
    </w:p>
    <w:p>
      <w:pPr>
        <w:pStyle w:val="Title"/>
        <w:jc w:val="center"/>
      </w:pPr>
      <w:r>
        <w:rPr>
          <w:rFonts w:ascii="Aptos" w:hAnsi="Aptos"/>
        </w:rPr>
        <w:t>Bullying and Harassment Policy</w:t>
      </w:r>
    </w:p>
    <w:p>
      <w:pPr>
        <w:jc w:val="center"/>
      </w:pPr>
      <w:r>
        <w:rPr>
          <w:rFonts w:ascii="Aptos" w:hAnsi="Aptos"/>
          <w:b/>
          <w:color w:val="2A6F78"/>
          <w:sz w:val="24"/>
        </w:rPr>
        <w:t>Apprenticeships, government-funded training and wider Qualia Academy provision</w:t>
      </w:r>
    </w:p>
    <w:tbl>
      <w:tblPr>
        <w:tblW w:type="auto" w:w="0"/>
        <w:jc w:val="center"/>
        <w:tblLayout w:type="fixed"/>
        <w:tblLook w:firstColumn="1" w:firstRow="1" w:lastColumn="0" w:lastRow="0" w:noHBand="0" w:noVBand="1" w:val="04A0"/>
      </w:tblPr>
      <w:tblGrid>
        <w:gridCol w:w="4933"/>
        <w:gridCol w:w="4933"/>
      </w:tblGrid>
      <w:tr>
        <w:tc>
          <w:tcPr>
            <w:tcW w:type="dxa" w:w="4933"/>
            <w:tcMar>
              <w:top w:w="90" w:type="dxa"/>
              <w:start w:w="100" w:type="dxa"/>
              <w:bottom w:w="90" w:type="dxa"/>
              <w:end w:w="100" w:type="dxa"/>
            </w:tcMar>
            <w:shd w:fill="F4F5F7"/>
            <w:vAlign w:val="top"/>
          </w:tcPr>
          <w:p>
            <w:pPr>
              <w:spacing w:after="50"/>
            </w:pPr>
            <w:r>
              <w:rPr>
                <w:rFonts w:ascii="Aptos" w:hAnsi="Aptos"/>
                <w:b/>
                <w:color w:val="362D4E"/>
                <w:sz w:val="19"/>
              </w:rPr>
              <w:t>Current version</w:t>
            </w:r>
          </w:p>
        </w:tc>
        <w:tc>
          <w:tcPr>
            <w:tcW w:type="dxa" w:w="4933"/>
            <w:tcMar>
              <w:top w:w="90" w:type="dxa"/>
              <w:start w:w="100" w:type="dxa"/>
              <w:bottom w:w="90" w:type="dxa"/>
              <w:end w:w="100" w:type="dxa"/>
            </w:tcMar>
            <w:vAlign w:val="top"/>
          </w:tcPr>
          <w:p>
            <w:pPr>
              <w:spacing w:after="50"/>
            </w:pPr>
            <w:r>
              <w:rPr>
                <w:rFonts w:ascii="Aptos" w:hAnsi="Aptos"/>
                <w:sz w:val="19"/>
              </w:rPr>
              <w:t>V5.1:BAHP2026</w:t>
            </w:r>
          </w:p>
        </w:tc>
      </w:tr>
      <w:tr>
        <w:tc>
          <w:tcPr>
            <w:tcW w:type="dxa" w:w="4933"/>
            <w:tcMar>
              <w:top w:w="90" w:type="dxa"/>
              <w:start w:w="100" w:type="dxa"/>
              <w:bottom w:w="90" w:type="dxa"/>
              <w:end w:w="100" w:type="dxa"/>
            </w:tcMar>
            <w:shd w:fill="F4F5F7"/>
            <w:vAlign w:val="top"/>
          </w:tcPr>
          <w:p>
            <w:pPr>
              <w:spacing w:after="50"/>
            </w:pPr>
            <w:r>
              <w:rPr>
                <w:rFonts w:ascii="Aptos" w:hAnsi="Aptos"/>
                <w:b/>
                <w:color w:val="362D4E"/>
                <w:sz w:val="19"/>
              </w:rPr>
              <w:t>Effective date</w:t>
            </w:r>
          </w:p>
        </w:tc>
        <w:tc>
          <w:tcPr>
            <w:tcW w:type="dxa" w:w="4933"/>
            <w:tcMar>
              <w:top w:w="90" w:type="dxa"/>
              <w:start w:w="100" w:type="dxa"/>
              <w:bottom w:w="90" w:type="dxa"/>
              <w:end w:w="100" w:type="dxa"/>
            </w:tcMar>
            <w:vAlign w:val="top"/>
          </w:tcPr>
          <w:p>
            <w:pPr>
              <w:spacing w:after="50"/>
            </w:pPr>
            <w:r>
              <w:rPr>
                <w:rFonts w:ascii="Aptos" w:hAnsi="Aptos"/>
                <w:sz w:val="19"/>
              </w:rPr>
              <w:t>10 August 2026</w:t>
            </w:r>
          </w:p>
        </w:tc>
      </w:tr>
      <w:tr>
        <w:tc>
          <w:tcPr>
            <w:tcW w:type="dxa" w:w="4933"/>
            <w:tcMar>
              <w:top w:w="90" w:type="dxa"/>
              <w:start w:w="100" w:type="dxa"/>
              <w:bottom w:w="90" w:type="dxa"/>
              <w:end w:w="100" w:type="dxa"/>
            </w:tcMar>
            <w:shd w:fill="F4F5F7"/>
            <w:vAlign w:val="top"/>
          </w:tcPr>
          <w:p>
            <w:pPr>
              <w:spacing w:after="50"/>
            </w:pPr>
            <w:r>
              <w:rPr>
                <w:rFonts w:ascii="Aptos" w:hAnsi="Aptos"/>
                <w:b/>
                <w:color w:val="362D4E"/>
                <w:sz w:val="19"/>
              </w:rPr>
              <w:t>Next scheduled review</w:t>
            </w:r>
          </w:p>
        </w:tc>
        <w:tc>
          <w:tcPr>
            <w:tcW w:type="dxa" w:w="4933"/>
            <w:tcMar>
              <w:top w:w="90" w:type="dxa"/>
              <w:start w:w="100" w:type="dxa"/>
              <w:bottom w:w="90" w:type="dxa"/>
              <w:end w:w="100" w:type="dxa"/>
            </w:tcMar>
            <w:vAlign w:val="top"/>
          </w:tcPr>
          <w:p>
            <w:pPr>
              <w:spacing w:after="50"/>
            </w:pPr>
            <w:r>
              <w:rPr>
                <w:rFonts w:ascii="Aptos" w:hAnsi="Aptos"/>
                <w:sz w:val="19"/>
              </w:rPr>
              <w:t>1 November 2026</w:t>
            </w:r>
          </w:p>
        </w:tc>
      </w:tr>
      <w:tr>
        <w:tc>
          <w:tcPr>
            <w:tcW w:type="dxa" w:w="4933"/>
            <w:tcMar>
              <w:top w:w="90" w:type="dxa"/>
              <w:start w:w="100" w:type="dxa"/>
              <w:bottom w:w="90" w:type="dxa"/>
              <w:end w:w="100" w:type="dxa"/>
            </w:tcMar>
            <w:shd w:fill="F4F5F7"/>
            <w:vAlign w:val="top"/>
          </w:tcPr>
          <w:p>
            <w:pPr>
              <w:spacing w:after="50"/>
            </w:pPr>
            <w:r>
              <w:rPr>
                <w:rFonts w:ascii="Aptos" w:hAnsi="Aptos"/>
                <w:b/>
                <w:color w:val="362D4E"/>
                <w:sz w:val="19"/>
              </w:rPr>
              <w:t>Document owner</w:t>
            </w:r>
          </w:p>
        </w:tc>
        <w:tc>
          <w:tcPr>
            <w:tcW w:type="dxa" w:w="4933"/>
            <w:tcMar>
              <w:top w:w="90" w:type="dxa"/>
              <w:start w:w="100" w:type="dxa"/>
              <w:bottom w:w="90" w:type="dxa"/>
              <w:end w:w="100" w:type="dxa"/>
            </w:tcMar>
            <w:vAlign w:val="top"/>
          </w:tcPr>
          <w:p>
            <w:pPr>
              <w:spacing w:after="50"/>
            </w:pPr>
            <w:r>
              <w:rPr>
                <w:rFonts w:ascii="Aptos" w:hAnsi="Aptos"/>
                <w:sz w:val="19"/>
              </w:rPr>
              <w:t>Kirsty Watson</w:t>
            </w:r>
          </w:p>
        </w:tc>
      </w:tr>
      <w:tr>
        <w:tc>
          <w:tcPr>
            <w:tcW w:type="dxa" w:w="4933"/>
            <w:tcMar>
              <w:top w:w="90" w:type="dxa"/>
              <w:start w:w="100" w:type="dxa"/>
              <w:bottom w:w="90" w:type="dxa"/>
              <w:end w:w="100" w:type="dxa"/>
            </w:tcMar>
            <w:shd w:fill="F4F5F7"/>
            <w:vAlign w:val="top"/>
          </w:tcPr>
          <w:p>
            <w:pPr>
              <w:spacing w:after="50"/>
            </w:pPr>
            <w:r>
              <w:rPr>
                <w:rFonts w:ascii="Aptos" w:hAnsi="Aptos"/>
                <w:b/>
                <w:color w:val="362D4E"/>
                <w:sz w:val="19"/>
              </w:rPr>
              <w:t>Classification</w:t>
            </w:r>
          </w:p>
        </w:tc>
        <w:tc>
          <w:tcPr>
            <w:tcW w:type="dxa" w:w="4933"/>
            <w:tcMar>
              <w:top w:w="90" w:type="dxa"/>
              <w:start w:w="100" w:type="dxa"/>
              <w:bottom w:w="90" w:type="dxa"/>
              <w:end w:w="100" w:type="dxa"/>
            </w:tcMar>
            <w:vAlign w:val="top"/>
          </w:tcPr>
          <w:p>
            <w:pPr>
              <w:spacing w:after="50"/>
            </w:pPr>
            <w:r>
              <w:rPr>
                <w:rFonts w:ascii="Aptos" w:hAnsi="Aptos"/>
                <w:sz w:val="19"/>
              </w:rPr>
              <w:t>Public</w:t>
            </w:r>
          </w:p>
        </w:tc>
      </w:tr>
      <w:tr>
        <w:tc>
          <w:tcPr>
            <w:tcW w:type="dxa" w:w="4933"/>
            <w:tcMar>
              <w:top w:w="90" w:type="dxa"/>
              <w:start w:w="100" w:type="dxa"/>
              <w:bottom w:w="90" w:type="dxa"/>
              <w:end w:w="100" w:type="dxa"/>
            </w:tcMar>
            <w:shd w:fill="F4F5F7"/>
            <w:vAlign w:val="top"/>
          </w:tcPr>
          <w:p>
            <w:pPr>
              <w:spacing w:after="50"/>
            </w:pPr>
            <w:r>
              <w:rPr>
                <w:rFonts w:ascii="Aptos" w:hAnsi="Aptos"/>
                <w:b/>
                <w:color w:val="362D4E"/>
                <w:sz w:val="19"/>
              </w:rPr>
              <w:t>Status</w:t>
            </w:r>
          </w:p>
        </w:tc>
        <w:tc>
          <w:tcPr>
            <w:tcW w:type="dxa" w:w="4933"/>
            <w:tcMar>
              <w:top w:w="90" w:type="dxa"/>
              <w:start w:w="100" w:type="dxa"/>
              <w:bottom w:w="90" w:type="dxa"/>
              <w:end w:w="100" w:type="dxa"/>
            </w:tcMar>
            <w:vAlign w:val="top"/>
          </w:tcPr>
          <w:p>
            <w:pPr>
              <w:spacing w:after="50"/>
            </w:pPr>
            <w:r>
              <w:rPr>
                <w:rFonts w:ascii="Aptos" w:hAnsi="Aptos"/>
                <w:sz w:val="19"/>
              </w:rPr>
              <w:t>Interim statutory and regulatory update</w:t>
            </w:r>
          </w:p>
        </w:tc>
      </w:tr>
    </w:tbl>
    <w:tbl>
      <w:tblPr>
        <w:tblW w:type="auto" w:w="0"/>
        <w:jc w:val="center"/>
        <w:tblLook w:firstColumn="1" w:firstRow="1" w:lastColumn="0" w:lastRow="0" w:noHBand="0" w:noVBand="1" w:val="04A0"/>
      </w:tblPr>
      <w:tblGrid>
        <w:gridCol w:w="9866"/>
      </w:tblGrid>
      <w:tr>
        <w:tc>
          <w:tcPr>
            <w:tcW w:type="dxa" w:w="9866"/>
            <w:shd w:fill="F2EDF6"/>
            <w:tcMar>
              <w:top w:w="120" w:type="dxa"/>
              <w:start w:w="140" w:type="dxa"/>
              <w:bottom w:w="120" w:type="dxa"/>
              <w:end w:w="140" w:type="dxa"/>
            </w:tcMar>
            <w:vAlign w:val="top"/>
          </w:tcPr>
          <w:p>
            <w:pPr>
              <w:spacing w:after="50"/>
            </w:pPr>
            <w:r>
              <w:rPr>
                <w:rFonts w:ascii="Aptos" w:hAnsi="Aptos"/>
                <w:b/>
                <w:color w:val="362D4E"/>
                <w:sz w:val="21"/>
              </w:rPr>
              <w:t>Current safeguarding position</w:t>
            </w:r>
          </w:p>
          <w:p>
            <w:pPr>
              <w:spacing w:after="50"/>
            </w:pPr>
            <w:r>
              <w:rPr>
                <w:rFonts w:ascii="Aptos" w:hAnsi="Aptos"/>
                <w:sz w:val="20"/>
              </w:rPr>
              <w:t>Working Together to Safeguard Children 2026 is in force. Keeping Children Safe in Education 2025 remains the applicable KCSIE version until 31 August 2026; KCSIE 2026 comes into force on 1 September 2026. Qualia Academy has updated this policy in advance so that staff, apprentices, employers and partners are prepared for the September changes.</w:t>
            </w:r>
          </w:p>
        </w:tc>
      </w:tr>
    </w:tbl>
    <w:p>
      <w:pPr>
        <w:spacing w:after="0"/>
      </w:pPr>
    </w:p>
    <w:p>
      <w:pPr>
        <w:pStyle w:val="PolicyNote"/>
      </w:pPr>
      <w:r>
        <w:rPr>
          <w:rFonts w:ascii="Aptos" w:hAnsi="Aptos"/>
        </w:rPr>
        <w:t>This policy supersedes the previous Qualia Academy Bullying and Harassment Policy. It retains the original commitment to prevention, clear definitions, learner support, partnership with the police, informal and formal complaint routes, annual monitoring and restorative approaches, while updating these arrangements for current safeguarding, apprenticeship, equality, online-safety and inspection requirements.</w:t>
      </w:r>
    </w:p>
    <w:p>
      <w:r>
        <w:rPr>
          <w:rFonts w:ascii="Aptos" w:hAnsi="Aptos"/>
        </w:rPr>
        <w:br w:type="page"/>
      </w:r>
    </w:p>
    <w:p>
      <w:pPr>
        <w:pStyle w:val="Heading1"/>
      </w:pPr>
      <w:r>
        <w:rPr>
          <w:rFonts w:ascii="Aptos" w:hAnsi="Aptos"/>
        </w:rPr>
        <w:t>Contents</w:t>
      </w:r>
    </w:p>
    <w:p>
      <w:pPr>
        <w:spacing w:after="30"/>
      </w:pPr>
      <w:r>
        <w:rPr>
          <w:rFonts w:ascii="Aptos" w:hAnsi="Aptos"/>
          <w:color w:val="5A5A5A"/>
          <w:sz w:val="19"/>
        </w:rPr>
        <w:t>1. Purpose and objectives</w:t>
      </w:r>
    </w:p>
    <w:p>
      <w:pPr>
        <w:spacing w:after="30"/>
      </w:pPr>
      <w:r>
        <w:rPr>
          <w:rFonts w:ascii="Aptos" w:hAnsi="Aptos"/>
          <w:color w:val="5A5A5A"/>
          <w:sz w:val="19"/>
        </w:rPr>
        <w:t>2. Scope</w:t>
      </w:r>
    </w:p>
    <w:p>
      <w:pPr>
        <w:spacing w:after="30"/>
      </w:pPr>
      <w:r>
        <w:rPr>
          <w:rFonts w:ascii="Aptos" w:hAnsi="Aptos"/>
          <w:color w:val="5A5A5A"/>
          <w:sz w:val="19"/>
        </w:rPr>
        <w:t>3. Policy principles</w:t>
      </w:r>
    </w:p>
    <w:p>
      <w:pPr>
        <w:spacing w:after="30"/>
      </w:pPr>
      <w:r>
        <w:rPr>
          <w:rFonts w:ascii="Aptos" w:hAnsi="Aptos"/>
          <w:color w:val="5A5A5A"/>
          <w:sz w:val="19"/>
        </w:rPr>
        <w:t>4. Definitions and unacceptable behaviour</w:t>
      </w:r>
    </w:p>
    <w:p>
      <w:pPr>
        <w:spacing w:after="30"/>
      </w:pPr>
      <w:r>
        <w:rPr>
          <w:rFonts w:ascii="Aptos" w:hAnsi="Aptos"/>
          <w:color w:val="5A5A5A"/>
          <w:sz w:val="19"/>
        </w:rPr>
        <w:t>5. Roles and responsibilities</w:t>
      </w:r>
    </w:p>
    <w:p>
      <w:pPr>
        <w:spacing w:after="30"/>
      </w:pPr>
      <w:r>
        <w:rPr>
          <w:rFonts w:ascii="Aptos" w:hAnsi="Aptos"/>
          <w:color w:val="5A5A5A"/>
          <w:sz w:val="19"/>
        </w:rPr>
        <w:t>6. Apprenticeships, employers and workplace concerns</w:t>
      </w:r>
    </w:p>
    <w:p>
      <w:pPr>
        <w:spacing w:after="30"/>
      </w:pPr>
      <w:r>
        <w:rPr>
          <w:rFonts w:ascii="Aptos" w:hAnsi="Aptos"/>
          <w:color w:val="5A5A5A"/>
          <w:sz w:val="19"/>
        </w:rPr>
        <w:t>7. Child-on-child abuse and learners under 18</w:t>
      </w:r>
    </w:p>
    <w:p>
      <w:pPr>
        <w:spacing w:after="30"/>
      </w:pPr>
      <w:r>
        <w:rPr>
          <w:rFonts w:ascii="Aptos" w:hAnsi="Aptos"/>
          <w:color w:val="5A5A5A"/>
          <w:sz w:val="19"/>
        </w:rPr>
        <w:t>8. Sexual harassment, harmful sexual behaviour and sexual violence</w:t>
      </w:r>
    </w:p>
    <w:p>
      <w:pPr>
        <w:spacing w:after="30"/>
      </w:pPr>
      <w:r>
        <w:rPr>
          <w:rFonts w:ascii="Aptos" w:hAnsi="Aptos"/>
          <w:color w:val="5A5A5A"/>
          <w:sz w:val="19"/>
        </w:rPr>
        <w:t>9. Cyberbullying, online harassment and AI-facilitated abuse</w:t>
      </w:r>
    </w:p>
    <w:p>
      <w:pPr>
        <w:spacing w:after="30"/>
      </w:pPr>
      <w:r>
        <w:rPr>
          <w:rFonts w:ascii="Aptos" w:hAnsi="Aptos"/>
          <w:color w:val="5A5A5A"/>
          <w:sz w:val="19"/>
        </w:rPr>
        <w:t>10. Adult learners and adults at risk</w:t>
      </w:r>
    </w:p>
    <w:p>
      <w:pPr>
        <w:spacing w:after="30"/>
      </w:pPr>
      <w:r>
        <w:rPr>
          <w:rFonts w:ascii="Aptos" w:hAnsi="Aptos"/>
          <w:color w:val="5A5A5A"/>
          <w:sz w:val="19"/>
        </w:rPr>
        <w:t>11. Prevention, induction and training</w:t>
      </w:r>
    </w:p>
    <w:p>
      <w:pPr>
        <w:spacing w:after="30"/>
      </w:pPr>
      <w:r>
        <w:rPr>
          <w:rFonts w:ascii="Aptos" w:hAnsi="Aptos"/>
          <w:color w:val="5A5A5A"/>
          <w:sz w:val="19"/>
        </w:rPr>
        <w:t>12. Reporting concerns and complaints</w:t>
      </w:r>
    </w:p>
    <w:p>
      <w:pPr>
        <w:spacing w:after="30"/>
      </w:pPr>
      <w:r>
        <w:rPr>
          <w:rFonts w:ascii="Aptos" w:hAnsi="Aptos"/>
          <w:color w:val="5A5A5A"/>
          <w:sz w:val="19"/>
        </w:rPr>
        <w:t>13. Immediate safeguarding action and external referrals</w:t>
      </w:r>
    </w:p>
    <w:p>
      <w:pPr>
        <w:spacing w:after="30"/>
      </w:pPr>
      <w:r>
        <w:rPr>
          <w:rFonts w:ascii="Aptos" w:hAnsi="Aptos"/>
          <w:color w:val="5A5A5A"/>
          <w:sz w:val="19"/>
        </w:rPr>
        <w:t>14. Informal resolution</w:t>
      </w:r>
    </w:p>
    <w:p>
      <w:pPr>
        <w:spacing w:after="30"/>
      </w:pPr>
      <w:r>
        <w:rPr>
          <w:rFonts w:ascii="Aptos" w:hAnsi="Aptos"/>
          <w:color w:val="5A5A5A"/>
          <w:sz w:val="19"/>
        </w:rPr>
        <w:t>15. Formal investigation procedure</w:t>
      </w:r>
    </w:p>
    <w:p>
      <w:pPr>
        <w:spacing w:after="30"/>
      </w:pPr>
      <w:r>
        <w:rPr>
          <w:rFonts w:ascii="Aptos" w:hAnsi="Aptos"/>
          <w:color w:val="5A5A5A"/>
          <w:sz w:val="19"/>
        </w:rPr>
        <w:t>16. Complaints involving staff, contractors, employers or visitors</w:t>
      </w:r>
    </w:p>
    <w:p>
      <w:pPr>
        <w:spacing w:after="30"/>
      </w:pPr>
      <w:r>
        <w:rPr>
          <w:rFonts w:ascii="Aptos" w:hAnsi="Aptos"/>
          <w:color w:val="5A5A5A"/>
          <w:sz w:val="19"/>
        </w:rPr>
        <w:t>17. Support, protective measures and restorative practice</w:t>
      </w:r>
    </w:p>
    <w:p>
      <w:pPr>
        <w:spacing w:after="30"/>
      </w:pPr>
      <w:r>
        <w:rPr>
          <w:rFonts w:ascii="Aptos" w:hAnsi="Aptos"/>
          <w:color w:val="5A5A5A"/>
          <w:sz w:val="19"/>
        </w:rPr>
        <w:t>18. Confidentiality, information sharing and record keeping</w:t>
      </w:r>
    </w:p>
    <w:p>
      <w:pPr>
        <w:spacing w:after="30"/>
      </w:pPr>
      <w:r>
        <w:rPr>
          <w:rFonts w:ascii="Aptos" w:hAnsi="Aptos"/>
          <w:color w:val="5A5A5A"/>
          <w:sz w:val="19"/>
        </w:rPr>
        <w:t>19. Outcomes, sanctions and appeals</w:t>
      </w:r>
    </w:p>
    <w:p>
      <w:pPr>
        <w:spacing w:after="30"/>
      </w:pPr>
      <w:r>
        <w:rPr>
          <w:rFonts w:ascii="Aptos" w:hAnsi="Aptos"/>
          <w:color w:val="5A5A5A"/>
          <w:sz w:val="19"/>
        </w:rPr>
        <w:t>20. Monitoring, quality assurance and governance</w:t>
      </w:r>
    </w:p>
    <w:p>
      <w:pPr>
        <w:spacing w:after="30"/>
      </w:pPr>
      <w:r>
        <w:rPr>
          <w:rFonts w:ascii="Aptos" w:hAnsi="Aptos"/>
          <w:color w:val="5A5A5A"/>
          <w:sz w:val="19"/>
        </w:rPr>
        <w:t>21. Related policies, legislation and external requirements</w:t>
      </w:r>
    </w:p>
    <w:p>
      <w:pPr>
        <w:spacing w:after="30"/>
      </w:pPr>
      <w:r>
        <w:rPr>
          <w:rFonts w:ascii="Aptos" w:hAnsi="Aptos"/>
          <w:color w:val="5A5A5A"/>
          <w:sz w:val="19"/>
        </w:rPr>
        <w:t>Document Control</w:t>
      </w:r>
    </w:p>
    <w:p>
      <w:pPr>
        <w:spacing w:after="30"/>
      </w:pPr>
      <w:r>
        <w:rPr>
          <w:rFonts w:ascii="Aptos" w:hAnsi="Aptos"/>
          <w:color w:val="5A5A5A"/>
          <w:sz w:val="19"/>
        </w:rPr>
        <w:t>Version Control and Historical Change Record</w:t>
      </w:r>
    </w:p>
    <w:p>
      <w:pPr>
        <w:spacing w:after="30"/>
      </w:pPr>
      <w:r>
        <w:rPr>
          <w:rFonts w:ascii="Aptos" w:hAnsi="Aptos"/>
          <w:color w:val="5A5A5A"/>
          <w:sz w:val="19"/>
        </w:rPr>
        <w:t>Rationale for V5.1 Interim Update</w:t>
      </w:r>
    </w:p>
    <w:p>
      <w:pPr>
        <w:spacing w:after="30"/>
      </w:pPr>
      <w:r>
        <w:rPr>
          <w:rFonts w:ascii="Aptos" w:hAnsi="Aptos"/>
          <w:color w:val="5A5A5A"/>
          <w:sz w:val="19"/>
        </w:rPr>
        <w:t>External Reference List</w:t>
      </w:r>
    </w:p>
    <w:p>
      <w:pPr>
        <w:pStyle w:val="Heading1"/>
      </w:pPr>
      <w:r>
        <w:rPr>
          <w:rFonts w:ascii="Aptos" w:hAnsi="Aptos"/>
        </w:rPr>
        <w:t>1. Purpose and objectives</w:t>
      </w:r>
    </w:p>
    <w:p>
      <w:r>
        <w:rPr>
          <w:rFonts w:ascii="Aptos" w:hAnsi="Aptos"/>
        </w:rPr>
        <w:t>Qualia Academy is committed to providing learning and working environments in which apprentices, learners, staff, employers, visitors and partners are treated with dignity and respect and are protected from bullying, harassment, discrimination, sexual harassment, victimisation, intimidation and abuse.</w:t>
      </w:r>
    </w:p>
    <w:p>
      <w:r>
        <w:rPr>
          <w:rFonts w:ascii="Aptos" w:hAnsi="Aptos"/>
        </w:rPr>
        <w:t>The objectives of this policy are to:</w:t>
      </w:r>
    </w:p>
    <w:p>
      <w:pPr>
        <w:pStyle w:val="PolicyBullet"/>
        <w:ind w:left="312" w:hanging="142"/>
      </w:pPr>
      <w:r>
        <w:rPr>
          <w:rFonts w:ascii="Aptos" w:hAnsi="Aptos"/>
        </w:rPr>
        <w:t>Demonstrate the Academy’s commitment to preventing bullying and harassment as part of its safeguarding, equality, learner-welfare and quality responsibilities.</w:t>
      </w:r>
    </w:p>
    <w:p>
      <w:pPr>
        <w:pStyle w:val="PolicyBullet"/>
        <w:ind w:left="312" w:hanging="142"/>
      </w:pPr>
      <w:r>
        <w:rPr>
          <w:rFonts w:ascii="Aptos" w:hAnsi="Aptos"/>
        </w:rPr>
        <w:t>Provide clear definitions and examples of unacceptable behaviour, including face-to-face, workplace, online and technology-facilitated behaviour.</w:t>
      </w:r>
    </w:p>
    <w:p>
      <w:pPr>
        <w:pStyle w:val="PolicyBullet"/>
        <w:ind w:left="312" w:hanging="142"/>
      </w:pPr>
      <w:r>
        <w:rPr>
          <w:rFonts w:ascii="Aptos" w:hAnsi="Aptos"/>
        </w:rPr>
        <w:t>Ensure apprentices and learners know how to report concerns, including concerns arising in the workplace, during remote learning, on social media or outside training where there is a connection to the apprenticeship or learner relationship.</w:t>
      </w:r>
    </w:p>
    <w:p>
      <w:pPr>
        <w:pStyle w:val="PolicyBullet"/>
        <w:ind w:left="312" w:hanging="142"/>
      </w:pPr>
      <w:r>
        <w:rPr>
          <w:rFonts w:ascii="Aptos" w:hAnsi="Aptos"/>
        </w:rPr>
        <w:t>Ensure staff respond promptly, proportionately, fairly and with professional curiosity, recognising that bullying or harassment may also be a safeguarding concern or criminal matter.</w:t>
      </w:r>
    </w:p>
    <w:p>
      <w:pPr>
        <w:pStyle w:val="PolicyBullet"/>
        <w:ind w:left="312" w:hanging="142"/>
      </w:pPr>
      <w:r>
        <w:rPr>
          <w:rFonts w:ascii="Aptos" w:hAnsi="Aptos"/>
        </w:rPr>
        <w:t>Protect children under 18 in accordance with Working Together to Safeguard Children and the relevant principles of Keeping Children Safe in Education, as reflected in Ofsted’s expectations for further education and skills providers.</w:t>
      </w:r>
    </w:p>
    <w:p>
      <w:pPr>
        <w:pStyle w:val="PolicyBullet"/>
        <w:ind w:left="312" w:hanging="142"/>
      </w:pPr>
      <w:r>
        <w:rPr>
          <w:rFonts w:ascii="Aptos" w:hAnsi="Aptos"/>
        </w:rPr>
        <w:t>Protect adult learners who may be adults at risk in line with the Care Act 2014 safeguarding principles and local safeguarding arrangements.</w:t>
      </w:r>
    </w:p>
    <w:p>
      <w:pPr>
        <w:pStyle w:val="PolicyBullet"/>
        <w:ind w:left="312" w:hanging="142"/>
      </w:pPr>
      <w:r>
        <w:rPr>
          <w:rFonts w:ascii="Aptos" w:hAnsi="Aptos"/>
        </w:rPr>
        <w:t>Work effectively with employers, local authority children’s social care, adult safeguarding services, the Local Authority Designated Officer (LADO), police and other agencies where required.</w:t>
      </w:r>
    </w:p>
    <w:p>
      <w:pPr>
        <w:pStyle w:val="PolicyBullet"/>
        <w:ind w:left="312" w:hanging="142"/>
      </w:pPr>
      <w:r>
        <w:rPr>
          <w:rFonts w:ascii="Aptos" w:hAnsi="Aptos"/>
        </w:rPr>
        <w:t>Use complaints, safeguarding cases, learner and employer feedback and quality assurance to identify patterns, reduce recurrence and improve practice.</w:t>
      </w:r>
    </w:p>
    <w:p>
      <w:pPr>
        <w:pStyle w:val="Heading1"/>
      </w:pPr>
      <w:r>
        <w:rPr>
          <w:rFonts w:ascii="Aptos" w:hAnsi="Aptos"/>
        </w:rPr>
        <w:t>2. Scope</w:t>
      </w:r>
    </w:p>
    <w:p>
      <w:r>
        <w:rPr>
          <w:rFonts w:ascii="Aptos" w:hAnsi="Aptos"/>
        </w:rPr>
        <w:t>This policy applies across all Qualia Academy provision and delivery arrangements, including apprenticeships, foundation apprenticeships where delivered, government-funded adult learning, Skills Bootcamps, commercial training and any subcontracted or partner delivery for which Qualia Academy holds responsibility.</w:t>
      </w:r>
    </w:p>
    <w:p>
      <w:r>
        <w:rPr>
          <w:rFonts w:ascii="Aptos" w:hAnsi="Aptos"/>
        </w:rPr>
        <w:t>It applies to:</w:t>
      </w:r>
    </w:p>
    <w:p>
      <w:pPr>
        <w:pStyle w:val="PolicyBullet"/>
        <w:ind w:left="312" w:hanging="142"/>
      </w:pPr>
      <w:r>
        <w:rPr>
          <w:rFonts w:ascii="Aptos" w:hAnsi="Aptos"/>
        </w:rPr>
        <w:t>all apprentices and learners, regardless of age or funding route;</w:t>
      </w:r>
    </w:p>
    <w:p>
      <w:pPr>
        <w:pStyle w:val="PolicyBullet"/>
        <w:ind w:left="312" w:hanging="142"/>
      </w:pPr>
      <w:r>
        <w:rPr>
          <w:rFonts w:ascii="Aptos" w:hAnsi="Aptos"/>
        </w:rPr>
        <w:t>all employees, tutors, assessors, mentors, coaches, IQAs, contractors, agency staff and volunteers;</w:t>
      </w:r>
    </w:p>
    <w:p>
      <w:pPr>
        <w:pStyle w:val="PolicyBullet"/>
        <w:ind w:left="312" w:hanging="142"/>
      </w:pPr>
      <w:r>
        <w:rPr>
          <w:rFonts w:ascii="Aptos" w:hAnsi="Aptos"/>
        </w:rPr>
        <w:t>employers, line managers and workplace mentors when they are participating in the apprenticeship or interacting with Qualia learners or staff;</w:t>
      </w:r>
    </w:p>
    <w:p>
      <w:pPr>
        <w:pStyle w:val="PolicyBullet"/>
        <w:ind w:left="312" w:hanging="142"/>
      </w:pPr>
      <w:r>
        <w:rPr>
          <w:rFonts w:ascii="Aptos" w:hAnsi="Aptos"/>
        </w:rPr>
        <w:t>subcontractors, delivery partners, visitors, guest speakers and other stakeholders;</w:t>
      </w:r>
    </w:p>
    <w:p>
      <w:pPr>
        <w:pStyle w:val="PolicyBullet"/>
        <w:ind w:left="312" w:hanging="142"/>
      </w:pPr>
      <w:r>
        <w:rPr>
          <w:rFonts w:ascii="Aptos" w:hAnsi="Aptos"/>
        </w:rPr>
        <w:t>conduct on Qualia premises, employer premises, placement sites, public venues, online learning platforms, video calls, email, messaging services, social media and other digital spaces;</w:t>
      </w:r>
    </w:p>
    <w:p>
      <w:pPr>
        <w:pStyle w:val="PolicyBullet"/>
        <w:ind w:left="312" w:hanging="142"/>
      </w:pPr>
      <w:r>
        <w:rPr>
          <w:rFonts w:ascii="Aptos" w:hAnsi="Aptos"/>
        </w:rPr>
        <w:t>conduct outside normal training hours where there is a sufficient connection to Qualia Academy, an apprenticeship, the workplace-learning relationship, or the safety and welfare of a learner.</w:t>
      </w:r>
    </w:p>
    <w:p>
      <w:r>
        <w:rPr>
          <w:rFonts w:ascii="Aptos" w:hAnsi="Aptos"/>
        </w:rPr>
        <w:t>Staff-to-staff concerns are also subject to the relevant Staff Grievance, Dignity at Work and Disciplinary procedures. Where a learner complaint is made about a member of staff, contractor, employer representative or other adult, safeguarding and allegation-management procedures take priority where the concern meets or may meet a safeguarding threshold.</w:t>
      </w:r>
    </w:p>
    <w:p>
      <w:pPr>
        <w:pStyle w:val="Heading1"/>
      </w:pPr>
      <w:r>
        <w:rPr>
          <w:rFonts w:ascii="Aptos" w:hAnsi="Aptos"/>
        </w:rPr>
        <w:t>3. Policy principles</w:t>
      </w:r>
    </w:p>
    <w:p>
      <w:pPr>
        <w:pStyle w:val="PolicyBullet"/>
        <w:ind w:left="312" w:hanging="142"/>
      </w:pPr>
      <w:r>
        <w:rPr>
          <w:rFonts w:ascii="Aptos" w:hAnsi="Aptos"/>
        </w:rPr>
        <w:t>Bullying, harassment and abuse are not acceptable and will not be normalised as “banter”, “just having a laugh”, “part of growing up” or similar.</w:t>
      </w:r>
    </w:p>
    <w:p>
      <w:pPr>
        <w:pStyle w:val="PolicyBullet"/>
        <w:ind w:left="312" w:hanging="142"/>
      </w:pPr>
      <w:r>
        <w:rPr>
          <w:rFonts w:ascii="Aptos" w:hAnsi="Aptos"/>
        </w:rPr>
        <w:t>Qualia Academy adopts a zero-tolerance approach to sexual harassment and sexual violence. Zero tolerance means concerns are taken seriously and acted on; it does not mean every case has the same sanction.</w:t>
      </w:r>
    </w:p>
    <w:p>
      <w:pPr>
        <w:pStyle w:val="PolicyBullet"/>
        <w:ind w:left="312" w:hanging="142"/>
      </w:pPr>
      <w:r>
        <w:rPr>
          <w:rFonts w:ascii="Aptos" w:hAnsi="Aptos"/>
        </w:rPr>
        <w:t>Victims will be listened to, taken seriously, supported and kept safe. They will not be blamed or made to feel they are creating a problem by reporting concerns.</w:t>
      </w:r>
    </w:p>
    <w:p>
      <w:pPr>
        <w:pStyle w:val="PolicyBullet"/>
        <w:ind w:left="312" w:hanging="142"/>
      </w:pPr>
      <w:r>
        <w:rPr>
          <w:rFonts w:ascii="Aptos" w:hAnsi="Aptos"/>
        </w:rPr>
        <w:t>An allegation is not proof. The person accused will be treated fairly, told enough about the concern to respond where lawful and safe, and supported through the process.</w:t>
      </w:r>
    </w:p>
    <w:p>
      <w:pPr>
        <w:pStyle w:val="PolicyBullet"/>
        <w:ind w:left="312" w:hanging="142"/>
      </w:pPr>
      <w:r>
        <w:rPr>
          <w:rFonts w:ascii="Aptos" w:hAnsi="Aptos"/>
        </w:rPr>
        <w:t>Safeguarding takes precedence over informal resolution. No learner will be required to confront an alleged perpetrator or participate in mediation or restorative activity.</w:t>
      </w:r>
    </w:p>
    <w:p>
      <w:pPr>
        <w:pStyle w:val="PolicyBullet"/>
        <w:ind w:left="312" w:hanging="142"/>
      </w:pPr>
      <w:r>
        <w:rPr>
          <w:rFonts w:ascii="Aptos" w:hAnsi="Aptos"/>
        </w:rPr>
        <w:t>Qualia Academy will challenge racism, discrimination, misogyny, misandry, homophobia, biphobia, transphobic bullying, faith-based prejudice, disability-related harassment and other discriminatory conduct.</w:t>
      </w:r>
    </w:p>
    <w:p>
      <w:pPr>
        <w:pStyle w:val="PolicyBullet"/>
        <w:ind w:left="312" w:hanging="142"/>
      </w:pPr>
      <w:r>
        <w:rPr>
          <w:rFonts w:ascii="Aptos" w:hAnsi="Aptos"/>
        </w:rPr>
        <w:t>Concerns can arise at training, in the workplace, online or in a learner’s personal life. Staff should consider the whole context rather than treating incidents in isolation.</w:t>
      </w:r>
    </w:p>
    <w:p>
      <w:pPr>
        <w:pStyle w:val="PolicyBullet"/>
        <w:ind w:left="312" w:hanging="142"/>
      </w:pPr>
      <w:r>
        <w:rPr>
          <w:rFonts w:ascii="Aptos" w:hAnsi="Aptos"/>
        </w:rPr>
        <w:t>Reasonable adjustments and accessible reporting routes will be offered so that disabled, neurodivergent and otherwise vulnerable learners can participate effectively in reporting and investigation processes.</w:t>
      </w:r>
    </w:p>
    <w:p>
      <w:pPr>
        <w:pStyle w:val="PolicyBullet"/>
        <w:ind w:left="312" w:hanging="142"/>
      </w:pPr>
      <w:r>
        <w:rPr>
          <w:rFonts w:ascii="Aptos" w:hAnsi="Aptos"/>
        </w:rPr>
        <w:t>Information will be shared on a need-to-know basis, but confidentiality will never be promised where safeguarding information may need to be shared to protect a child or adult at risk.</w:t>
      </w:r>
    </w:p>
    <w:p>
      <w:pPr>
        <w:pStyle w:val="Heading1"/>
      </w:pPr>
      <w:r>
        <w:rPr>
          <w:rFonts w:ascii="Aptos" w:hAnsi="Aptos"/>
        </w:rPr>
        <w:t>4. Definitions and unacceptable behaviour</w:t>
      </w:r>
    </w:p>
    <w:p>
      <w:pPr>
        <w:pStyle w:val="Heading2"/>
      </w:pPr>
      <w:r>
        <w:rPr>
          <w:rFonts w:ascii="Aptos" w:hAnsi="Aptos"/>
        </w:rPr>
        <w:t>4.1 Harassment</w:t>
      </w:r>
    </w:p>
    <w:p>
      <w:r>
        <w:rPr>
          <w:rFonts w:ascii="Aptos" w:hAnsi="Aptos"/>
        </w:rPr>
        <w:t>For the purposes of this policy, harassment is unwanted conduct that has the purpose or effect of violating a person’s dignity or creating an intimidating, hostile, degrading, humiliating or offensive environment. Where conduct is related to a protected characteristic or is sexual in nature, it may also constitute unlawful harassment under the Equality Act 2010.</w:t>
      </w:r>
    </w:p>
    <w:p>
      <w:r>
        <w:rPr>
          <w:rFonts w:ascii="Aptos" w:hAnsi="Aptos"/>
        </w:rPr>
        <w:t>Examples include:</w:t>
      </w:r>
    </w:p>
    <w:p>
      <w:pPr>
        <w:pStyle w:val="PolicyBullet"/>
        <w:ind w:left="312" w:hanging="142"/>
      </w:pPr>
      <w:r>
        <w:rPr>
          <w:rFonts w:ascii="Aptos" w:hAnsi="Aptos"/>
        </w:rPr>
        <w:t>verbal conduct such as insults, threats, jokes, slurs, sexual comments, racist comments, name-calling or malicious gossip;</w:t>
      </w:r>
    </w:p>
    <w:p>
      <w:pPr>
        <w:pStyle w:val="PolicyBullet"/>
        <w:ind w:left="312" w:hanging="142"/>
      </w:pPr>
      <w:r>
        <w:rPr>
          <w:rFonts w:ascii="Aptos" w:hAnsi="Aptos"/>
        </w:rPr>
        <w:t>non-verbal conduct such as intimidating gestures, aggressive looks, deliberate exclusion or invasion of personal space;</w:t>
      </w:r>
    </w:p>
    <w:p>
      <w:pPr>
        <w:pStyle w:val="PolicyBullet"/>
        <w:ind w:left="312" w:hanging="142"/>
      </w:pPr>
      <w:r>
        <w:rPr>
          <w:rFonts w:ascii="Aptos" w:hAnsi="Aptos"/>
        </w:rPr>
        <w:t>visual conduct such as displaying or transmitting offensive images, graffiti, memes, deepfakes, sexualised or discriminatory content;</w:t>
      </w:r>
    </w:p>
    <w:p>
      <w:pPr>
        <w:pStyle w:val="PolicyBullet"/>
        <w:ind w:left="312" w:hanging="142"/>
      </w:pPr>
      <w:r>
        <w:rPr>
          <w:rFonts w:ascii="Aptos" w:hAnsi="Aptos"/>
        </w:rPr>
        <w:t>physical conduct such as unwanted touching, pushing, assault or blocking someone’s movement;</w:t>
      </w:r>
    </w:p>
    <w:p>
      <w:pPr>
        <w:pStyle w:val="PolicyBullet"/>
        <w:ind w:left="312" w:hanging="142"/>
      </w:pPr>
      <w:r>
        <w:rPr>
          <w:rFonts w:ascii="Aptos" w:hAnsi="Aptos"/>
        </w:rPr>
        <w:t>electronic communication such as malicious, threatening, discriminatory or sexual messages, posts, emails or direct messages;</w:t>
      </w:r>
    </w:p>
    <w:p>
      <w:pPr>
        <w:pStyle w:val="PolicyBullet"/>
        <w:ind w:left="312" w:hanging="142"/>
      </w:pPr>
      <w:r>
        <w:rPr>
          <w:rFonts w:ascii="Aptos" w:hAnsi="Aptos"/>
        </w:rPr>
        <w:t>unwanted conduct connected with disability, race, sex, sexual orientation, religion or belief, gender reassignment, age or other protected characteristics;</w:t>
      </w:r>
    </w:p>
    <w:p>
      <w:pPr>
        <w:pStyle w:val="PolicyBullet"/>
        <w:ind w:left="312" w:hanging="142"/>
      </w:pPr>
      <w:r>
        <w:rPr>
          <w:rFonts w:ascii="Aptos" w:hAnsi="Aptos"/>
        </w:rPr>
        <w:t>conduct targeted at a person because they made, supported or were believed to have made a complaint of discrimination or harassment.</w:t>
      </w:r>
    </w:p>
    <w:p>
      <w:pPr>
        <w:pStyle w:val="Heading2"/>
      </w:pPr>
      <w:r>
        <w:rPr>
          <w:rFonts w:ascii="Aptos" w:hAnsi="Aptos"/>
        </w:rPr>
        <w:t>4.2 Sexual harassment</w:t>
      </w:r>
    </w:p>
    <w:p>
      <w:r>
        <w:rPr>
          <w:rFonts w:ascii="Aptos" w:hAnsi="Aptos"/>
        </w:rPr>
        <w:t>Sexual harassment is unwanted conduct of a sexual nature that has the purpose or effect of violating a person’s dignity or creating an intimidating, hostile, degrading, humiliating or offensive environment. It can happen online or offline, in training or in the workplace, and can be a single incident or a pattern of behaviour.</w:t>
      </w:r>
    </w:p>
    <w:p>
      <w:pPr>
        <w:pStyle w:val="PolicyBullet"/>
        <w:ind w:left="312" w:hanging="142"/>
      </w:pPr>
      <w:r>
        <w:rPr>
          <w:rFonts w:ascii="Aptos" w:hAnsi="Aptos"/>
        </w:rPr>
        <w:t>unwanted sexual comments, jokes, propositions, advances or sexualised remarks;</w:t>
      </w:r>
    </w:p>
    <w:p>
      <w:pPr>
        <w:pStyle w:val="PolicyBullet"/>
        <w:ind w:left="312" w:hanging="142"/>
      </w:pPr>
      <w:r>
        <w:rPr>
          <w:rFonts w:ascii="Aptos" w:hAnsi="Aptos"/>
        </w:rPr>
        <w:t>unwanted touching or physical contact;</w:t>
      </w:r>
    </w:p>
    <w:p>
      <w:pPr>
        <w:pStyle w:val="PolicyBullet"/>
        <w:ind w:left="312" w:hanging="142"/>
      </w:pPr>
      <w:r>
        <w:rPr>
          <w:rFonts w:ascii="Aptos" w:hAnsi="Aptos"/>
        </w:rPr>
        <w:t>displaying, sending or sharing sexual images or content;</w:t>
      </w:r>
    </w:p>
    <w:p>
      <w:pPr>
        <w:pStyle w:val="PolicyBullet"/>
        <w:ind w:left="312" w:hanging="142"/>
      </w:pPr>
      <w:r>
        <w:rPr>
          <w:rFonts w:ascii="Aptos" w:hAnsi="Aptos"/>
        </w:rPr>
        <w:t>upskirting or attempting to take intimate images without consent;</w:t>
      </w:r>
    </w:p>
    <w:p>
      <w:pPr>
        <w:pStyle w:val="PolicyBullet"/>
        <w:ind w:left="312" w:hanging="142"/>
      </w:pPr>
      <w:r>
        <w:rPr>
          <w:rFonts w:ascii="Aptos" w:hAnsi="Aptos"/>
        </w:rPr>
        <w:t>sharing or threatening to share intimate images, including altered or AI-generated sexual images;</w:t>
      </w:r>
    </w:p>
    <w:p>
      <w:pPr>
        <w:pStyle w:val="PolicyBullet"/>
        <w:ind w:left="312" w:hanging="142"/>
      </w:pPr>
      <w:r>
        <w:rPr>
          <w:rFonts w:ascii="Aptos" w:hAnsi="Aptos"/>
        </w:rPr>
        <w:t>sexualised online bullying, coercion, pressure or threats;</w:t>
      </w:r>
    </w:p>
    <w:p>
      <w:pPr>
        <w:pStyle w:val="PolicyBullet"/>
        <w:ind w:left="312" w:hanging="142"/>
      </w:pPr>
      <w:r>
        <w:rPr>
          <w:rFonts w:ascii="Aptos" w:hAnsi="Aptos"/>
        </w:rPr>
        <w:t>repeatedly asking someone for a date or sexual contact after they have said no;</w:t>
      </w:r>
    </w:p>
    <w:p>
      <w:pPr>
        <w:pStyle w:val="PolicyBullet"/>
        <w:ind w:left="312" w:hanging="142"/>
      </w:pPr>
      <w:r>
        <w:rPr>
          <w:rFonts w:ascii="Aptos" w:hAnsi="Aptos"/>
        </w:rPr>
        <w:t>conduct that creates a sexualised environment even where it is not directed at one individual.</w:t>
      </w:r>
    </w:p>
    <w:p>
      <w:pPr>
        <w:pStyle w:val="Heading2"/>
      </w:pPr>
      <w:r>
        <w:rPr>
          <w:rFonts w:ascii="Aptos" w:hAnsi="Aptos"/>
        </w:rPr>
        <w:t>4.3 Bullying</w:t>
      </w:r>
    </w:p>
    <w:p>
      <w:r>
        <w:rPr>
          <w:rFonts w:ascii="Aptos" w:hAnsi="Aptos"/>
        </w:rPr>
        <w:t>Bullying is the misuse of power, status or influence through behaviour that is intended, or can reasonably be expected, to intimidate, humiliate, undermine, isolate or harm another person. Bullying may be repeated or persistent, but a serious single incident may also require action under this policy or safeguarding procedures.</w:t>
      </w:r>
    </w:p>
    <w:p>
      <w:pPr>
        <w:pStyle w:val="PolicyBullet"/>
        <w:ind w:left="312" w:hanging="142"/>
      </w:pPr>
      <w:r>
        <w:rPr>
          <w:rFonts w:ascii="Aptos" w:hAnsi="Aptos"/>
        </w:rPr>
        <w:t>isolation or deliberate exclusion from learning, work or group activity;</w:t>
      </w:r>
    </w:p>
    <w:p>
      <w:pPr>
        <w:pStyle w:val="PolicyBullet"/>
        <w:ind w:left="312" w:hanging="142"/>
      </w:pPr>
      <w:r>
        <w:rPr>
          <w:rFonts w:ascii="Aptos" w:hAnsi="Aptos"/>
        </w:rPr>
        <w:t>public humiliation, mocking, teasing or persistent name-calling;</w:t>
      </w:r>
    </w:p>
    <w:p>
      <w:pPr>
        <w:pStyle w:val="PolicyBullet"/>
        <w:ind w:left="312" w:hanging="142"/>
      </w:pPr>
      <w:r>
        <w:rPr>
          <w:rFonts w:ascii="Aptos" w:hAnsi="Aptos"/>
        </w:rPr>
        <w:t>withholding information, opportunities or credit in order to undermine someone;</w:t>
      </w:r>
    </w:p>
    <w:p>
      <w:pPr>
        <w:pStyle w:val="PolicyBullet"/>
        <w:ind w:left="312" w:hanging="142"/>
      </w:pPr>
      <w:r>
        <w:rPr>
          <w:rFonts w:ascii="Aptos" w:hAnsi="Aptos"/>
        </w:rPr>
        <w:t>unreasonable threats, intimidation or coercion;</w:t>
      </w:r>
    </w:p>
    <w:p>
      <w:pPr>
        <w:pStyle w:val="PolicyBullet"/>
        <w:ind w:left="312" w:hanging="142"/>
      </w:pPr>
      <w:r>
        <w:rPr>
          <w:rFonts w:ascii="Aptos" w:hAnsi="Aptos"/>
        </w:rPr>
        <w:t>physical aggression or abuse;</w:t>
      </w:r>
    </w:p>
    <w:p>
      <w:pPr>
        <w:pStyle w:val="PolicyBullet"/>
        <w:ind w:left="312" w:hanging="142"/>
      </w:pPr>
      <w:r>
        <w:rPr>
          <w:rFonts w:ascii="Aptos" w:hAnsi="Aptos"/>
        </w:rPr>
        <w:t>abusive supervision, deliberate overloading, sabotage or unfair treatment where used as a means of intimidation;</w:t>
      </w:r>
    </w:p>
    <w:p>
      <w:pPr>
        <w:pStyle w:val="PolicyBullet"/>
        <w:ind w:left="312" w:hanging="142"/>
      </w:pPr>
      <w:r>
        <w:rPr>
          <w:rFonts w:ascii="Aptos" w:hAnsi="Aptos"/>
        </w:rPr>
        <w:t>bullying linked to an apprentice’s age, disability, neurodivergence, race, religion, sex, sexual orientation, gender reassignment, care experience or other personal characteristic.</w:t>
      </w:r>
    </w:p>
    <w:p>
      <w:pPr>
        <w:pStyle w:val="Heading2"/>
      </w:pPr>
      <w:r>
        <w:rPr>
          <w:rFonts w:ascii="Aptos" w:hAnsi="Aptos"/>
        </w:rPr>
        <w:t>4.4 Cyberbullying and online harassment</w:t>
      </w:r>
    </w:p>
    <w:p>
      <w:r>
        <w:rPr>
          <w:rFonts w:ascii="Aptos" w:hAnsi="Aptos"/>
        </w:rPr>
        <w:t>Cyberbullying is bullying or harassment carried out through digital technology. It can occur through social media, email, messaging apps, online learning systems, shared documents, gaming or community platforms, image/video sharing, anonymous accounts or AI-enabled services.</w:t>
      </w:r>
    </w:p>
    <w:p>
      <w:pPr>
        <w:pStyle w:val="PolicyBullet"/>
        <w:ind w:left="312" w:hanging="142"/>
      </w:pPr>
      <w:r>
        <w:rPr>
          <w:rFonts w:ascii="Aptos" w:hAnsi="Aptos"/>
        </w:rPr>
        <w:t>repeated hostile or humiliating messages;</w:t>
      </w:r>
    </w:p>
    <w:p>
      <w:pPr>
        <w:pStyle w:val="PolicyBullet"/>
        <w:ind w:left="312" w:hanging="142"/>
      </w:pPr>
      <w:r>
        <w:rPr>
          <w:rFonts w:ascii="Aptos" w:hAnsi="Aptos"/>
        </w:rPr>
        <w:t>posting private or embarrassing information without consent;</w:t>
      </w:r>
    </w:p>
    <w:p>
      <w:pPr>
        <w:pStyle w:val="PolicyBullet"/>
        <w:ind w:left="312" w:hanging="142"/>
      </w:pPr>
      <w:r>
        <w:rPr>
          <w:rFonts w:ascii="Aptos" w:hAnsi="Aptos"/>
        </w:rPr>
        <w:t>impersonation or fake accounts;</w:t>
      </w:r>
    </w:p>
    <w:p>
      <w:pPr>
        <w:pStyle w:val="PolicyBullet"/>
        <w:ind w:left="312" w:hanging="142"/>
      </w:pPr>
      <w:r>
        <w:rPr>
          <w:rFonts w:ascii="Aptos" w:hAnsi="Aptos"/>
        </w:rPr>
        <w:t>doxxing or exposing personal details to encourage harassment;</w:t>
      </w:r>
    </w:p>
    <w:p>
      <w:pPr>
        <w:pStyle w:val="PolicyBullet"/>
        <w:ind w:left="312" w:hanging="142"/>
      </w:pPr>
      <w:r>
        <w:rPr>
          <w:rFonts w:ascii="Aptos" w:hAnsi="Aptos"/>
        </w:rPr>
        <w:t>deliberate exclusion from essential learning or workplace digital groups;</w:t>
      </w:r>
    </w:p>
    <w:p>
      <w:pPr>
        <w:pStyle w:val="PolicyBullet"/>
        <w:ind w:left="312" w:hanging="142"/>
      </w:pPr>
      <w:r>
        <w:rPr>
          <w:rFonts w:ascii="Aptos" w:hAnsi="Aptos"/>
        </w:rPr>
        <w:t>coordinated pile-ons or group harassment;</w:t>
      </w:r>
    </w:p>
    <w:p>
      <w:pPr>
        <w:pStyle w:val="PolicyBullet"/>
        <w:ind w:left="312" w:hanging="142"/>
      </w:pPr>
      <w:r>
        <w:rPr>
          <w:rFonts w:ascii="Aptos" w:hAnsi="Aptos"/>
        </w:rPr>
        <w:t>sharing manipulated images, deepfakes, synthetic audio or sexualised AI-generated content;</w:t>
      </w:r>
    </w:p>
    <w:p>
      <w:pPr>
        <w:pStyle w:val="PolicyBullet"/>
        <w:ind w:left="312" w:hanging="142"/>
      </w:pPr>
      <w:r>
        <w:rPr>
          <w:rFonts w:ascii="Aptos" w:hAnsi="Aptos"/>
        </w:rPr>
        <w:t>using generative AI to create abusive, discriminatory, humiliating or sexually explicit material about another person.</w:t>
      </w:r>
    </w:p>
    <w:p>
      <w:r>
        <w:rPr>
          <w:rFonts w:ascii="Aptos" w:hAnsi="Aptos"/>
        </w:rPr>
        <w:t>Qualia Academy does not routinely monitor learners’ private social-media activity. However, it may review material that is lawfully available or has been provided as evidence when a specific concern is raised and there is a connection to learner safety, training, the apprenticeship or the Academy.</w:t>
      </w:r>
    </w:p>
    <w:p>
      <w:pPr>
        <w:pStyle w:val="Heading2"/>
      </w:pPr>
      <w:r>
        <w:rPr>
          <w:rFonts w:ascii="Aptos" w:hAnsi="Aptos"/>
        </w:rPr>
        <w:t>4.5 Prejudice-based and discriminatory bullying</w:t>
      </w:r>
    </w:p>
    <w:p>
      <w:r>
        <w:rPr>
          <w:rFonts w:ascii="Aptos" w:hAnsi="Aptos"/>
        </w:rPr>
        <w:t>Prejudice-based bullying includes conduct motivated by, or targeting, a person’s protected characteristic, identity, perceived identity, background or vulnerability. This includes racist, faith-based, sexist, misogynistic, homophobic, biphobic, transphobic, disability-related and age-related bullying. Qualia Academy will monitor patterns and disproportionality and will challenge discriminatory cultures rather than treating incidents only as individual disputes.</w:t>
      </w:r>
    </w:p>
    <w:p>
      <w:pPr>
        <w:pStyle w:val="Heading2"/>
      </w:pPr>
      <w:r>
        <w:rPr>
          <w:rFonts w:ascii="Aptos" w:hAnsi="Aptos"/>
        </w:rPr>
        <w:t>4.6 Victimisation and retaliation</w:t>
      </w:r>
    </w:p>
    <w:p>
      <w:r>
        <w:rPr>
          <w:rFonts w:ascii="Aptos" w:hAnsi="Aptos"/>
        </w:rPr>
        <w:t>No person should be disadvantaged, threatened, isolated or treated less favourably because they raised a concern, supported another person’s complaint, gave evidence, participated in an investigation or exercised a legal or safeguarding right. Retaliation may itself lead to disciplinary or safeguarding action.</w:t>
      </w:r>
    </w:p>
    <w:p>
      <w:pPr>
        <w:pStyle w:val="Heading1"/>
      </w:pPr>
      <w:r>
        <w:rPr>
          <w:rFonts w:ascii="Aptos" w:hAnsi="Aptos"/>
        </w:rPr>
        <w:t>5. Roles and responsibilities</w:t>
      </w:r>
    </w:p>
    <w:p>
      <w:pPr>
        <w:pStyle w:val="Heading2"/>
      </w:pPr>
      <w:r>
        <w:rPr>
          <w:rFonts w:ascii="Aptos" w:hAnsi="Aptos"/>
        </w:rPr>
        <w:t>5.1 Head of Academy / senior leadership</w:t>
      </w:r>
    </w:p>
    <w:p>
      <w:pPr>
        <w:pStyle w:val="PolicyBullet"/>
        <w:ind w:left="312" w:hanging="142"/>
      </w:pPr>
      <w:r>
        <w:rPr>
          <w:rFonts w:ascii="Aptos" w:hAnsi="Aptos"/>
        </w:rPr>
        <w:t>Ensure this policy is implemented, resourced and reviewed against current safeguarding, equality, apprenticeship and inspection requirements.</w:t>
      </w:r>
    </w:p>
    <w:p>
      <w:pPr>
        <w:pStyle w:val="PolicyBullet"/>
        <w:ind w:left="312" w:hanging="142"/>
      </w:pPr>
      <w:r>
        <w:rPr>
          <w:rFonts w:ascii="Aptos" w:hAnsi="Aptos"/>
        </w:rPr>
        <w:t>Promote an inclusive, anti-discriminatory culture and ensure bullying, harassment and abusive behaviour are challenged.</w:t>
      </w:r>
    </w:p>
    <w:p>
      <w:pPr>
        <w:pStyle w:val="PolicyBullet"/>
        <w:ind w:left="312" w:hanging="142"/>
      </w:pPr>
      <w:r>
        <w:rPr>
          <w:rFonts w:ascii="Aptos" w:hAnsi="Aptos"/>
        </w:rPr>
        <w:t>Ensure clear reporting routes are available to learners, apprentices, staff and employers and that safeguarding concerns can bypass normal line-management routes where necessary.</w:t>
      </w:r>
    </w:p>
    <w:p>
      <w:pPr>
        <w:pStyle w:val="PolicyBullet"/>
        <w:ind w:left="312" w:hanging="142"/>
      </w:pPr>
      <w:r>
        <w:rPr>
          <w:rFonts w:ascii="Aptos" w:hAnsi="Aptos"/>
        </w:rPr>
        <w:t>Ensure safeguarding cases, complaints and trends are reviewed through governance and quality arrangements without compromising confidentiality.</w:t>
      </w:r>
    </w:p>
    <w:p>
      <w:pPr>
        <w:pStyle w:val="PolicyBullet"/>
        <w:ind w:left="312" w:hanging="142"/>
      </w:pPr>
      <w:r>
        <w:rPr>
          <w:rFonts w:ascii="Aptos" w:hAnsi="Aptos"/>
        </w:rPr>
        <w:t>Ensure that staff concerns or allegations which may meet safeguarding thresholds are managed under the appropriate safeguarding/LADO process rather than solely as a grievance or conduct matter.</w:t>
      </w:r>
    </w:p>
    <w:p>
      <w:pPr>
        <w:pStyle w:val="Heading2"/>
      </w:pPr>
      <w:r>
        <w:rPr>
          <w:rFonts w:ascii="Aptos" w:hAnsi="Aptos"/>
        </w:rPr>
        <w:t>5.2 Designated Safeguarding Lead (DSL) and deputies</w:t>
      </w:r>
    </w:p>
    <w:p>
      <w:pPr>
        <w:pStyle w:val="PolicyBullet"/>
        <w:ind w:left="312" w:hanging="142"/>
      </w:pPr>
      <w:r>
        <w:rPr>
          <w:rFonts w:ascii="Aptos" w:hAnsi="Aptos"/>
        </w:rPr>
        <w:t>Provide advice and oversight where bullying or harassment may constitute abuse, exploitation, child-on-child abuse, sexual harassment, domestic abuse, harmful sexual behaviour or risk to an adult at risk.</w:t>
      </w:r>
    </w:p>
    <w:p>
      <w:pPr>
        <w:pStyle w:val="PolicyBullet"/>
        <w:ind w:left="312" w:hanging="142"/>
      </w:pPr>
      <w:r>
        <w:rPr>
          <w:rFonts w:ascii="Aptos" w:hAnsi="Aptos"/>
        </w:rPr>
        <w:t>Assess whether referrals or consultation are required with children’s social care, adult safeguarding, LADO, police or other agencies.</w:t>
      </w:r>
    </w:p>
    <w:p>
      <w:pPr>
        <w:pStyle w:val="PolicyBullet"/>
        <w:ind w:left="312" w:hanging="142"/>
      </w:pPr>
      <w:r>
        <w:rPr>
          <w:rFonts w:ascii="Aptos" w:hAnsi="Aptos"/>
        </w:rPr>
        <w:t>Ensure the wishes and welfare of the child or adult at risk are considered while recognising that safeguarding action may sometimes be required without consent.</w:t>
      </w:r>
    </w:p>
    <w:p>
      <w:pPr>
        <w:pStyle w:val="PolicyBullet"/>
        <w:ind w:left="312" w:hanging="142"/>
      </w:pPr>
      <w:r>
        <w:rPr>
          <w:rFonts w:ascii="Aptos" w:hAnsi="Aptos"/>
        </w:rPr>
        <w:t>Maintain appropriate safeguarding records and ensure decisions and rationale are documented.</w:t>
      </w:r>
    </w:p>
    <w:p>
      <w:pPr>
        <w:pStyle w:val="PolicyBullet"/>
        <w:ind w:left="312" w:hanging="142"/>
      </w:pPr>
      <w:r>
        <w:rPr>
          <w:rFonts w:ascii="Aptos" w:hAnsi="Aptos"/>
        </w:rPr>
        <w:t>Work with employers and partner agencies where the concern occurs in an apprentice’s workplace or personal context.</w:t>
      </w:r>
    </w:p>
    <w:p>
      <w:pPr>
        <w:pStyle w:val="Heading2"/>
      </w:pPr>
      <w:r>
        <w:rPr>
          <w:rFonts w:ascii="Aptos" w:hAnsi="Aptos"/>
        </w:rPr>
        <w:t>5.3 Tutors, assessors, coaches, mentors and other staff</w:t>
      </w:r>
    </w:p>
    <w:p>
      <w:pPr>
        <w:pStyle w:val="PolicyBullet"/>
        <w:ind w:left="312" w:hanging="142"/>
      </w:pPr>
      <w:r>
        <w:rPr>
          <w:rFonts w:ascii="Aptos" w:hAnsi="Aptos"/>
        </w:rPr>
        <w:t>Challenge bullying, harassment, discriminatory language and abusive behaviour rather than dismissing it as banter.</w:t>
      </w:r>
    </w:p>
    <w:p>
      <w:pPr>
        <w:pStyle w:val="PolicyBullet"/>
        <w:ind w:left="312" w:hanging="142"/>
      </w:pPr>
      <w:r>
        <w:rPr>
          <w:rFonts w:ascii="Aptos" w:hAnsi="Aptos"/>
        </w:rPr>
        <w:t>Listen, record the facts, avoid promising confidentiality, and report safeguarding concerns promptly through the Academy’s safeguarding process.</w:t>
      </w:r>
    </w:p>
    <w:p>
      <w:pPr>
        <w:pStyle w:val="PolicyBullet"/>
        <w:ind w:left="312" w:hanging="142"/>
      </w:pPr>
      <w:r>
        <w:rPr>
          <w:rFonts w:ascii="Aptos" w:hAnsi="Aptos"/>
        </w:rPr>
        <w:t>Be alert to changes in attendance, engagement, performance, confidence, behaviour or mental health that may indicate bullying, harassment or abuse.</w:t>
      </w:r>
    </w:p>
    <w:p>
      <w:pPr>
        <w:pStyle w:val="PolicyBullet"/>
        <w:ind w:left="312" w:hanging="142"/>
      </w:pPr>
      <w:r>
        <w:rPr>
          <w:rFonts w:ascii="Aptos" w:hAnsi="Aptos"/>
        </w:rPr>
        <w:t>Use progress reviews, tutorials and workplace visits as opportunities to check that apprentices know how to seek help and feel safe in training and at work.</w:t>
      </w:r>
    </w:p>
    <w:p>
      <w:pPr>
        <w:pStyle w:val="PolicyBullet"/>
        <w:ind w:left="312" w:hanging="142"/>
      </w:pPr>
      <w:r>
        <w:rPr>
          <w:rFonts w:ascii="Aptos" w:hAnsi="Aptos"/>
        </w:rPr>
        <w:t>Avoid investigating safeguarding allegations themselves beyond gathering the minimum information required to understand and refer the concern.</w:t>
      </w:r>
    </w:p>
    <w:p>
      <w:pPr>
        <w:pStyle w:val="PolicyBullet"/>
        <w:ind w:left="312" w:hanging="142"/>
      </w:pPr>
      <w:r>
        <w:rPr>
          <w:rFonts w:ascii="Aptos" w:hAnsi="Aptos"/>
        </w:rPr>
        <w:t>Maintain professional boundaries and comply with staff conduct and low-level-concern procedures.</w:t>
      </w:r>
    </w:p>
    <w:p>
      <w:pPr>
        <w:pStyle w:val="Heading2"/>
      </w:pPr>
      <w:r>
        <w:rPr>
          <w:rFonts w:ascii="Aptos" w:hAnsi="Aptos"/>
        </w:rPr>
        <w:t>5.4 Learners and apprentices</w:t>
      </w:r>
    </w:p>
    <w:p>
      <w:pPr>
        <w:pStyle w:val="PolicyBullet"/>
        <w:ind w:left="312" w:hanging="142"/>
      </w:pPr>
      <w:r>
        <w:rPr>
          <w:rFonts w:ascii="Aptos" w:hAnsi="Aptos"/>
        </w:rPr>
        <w:t>Treat others with dignity and respect and comply with the Learner Code of Conduct.</w:t>
      </w:r>
    </w:p>
    <w:p>
      <w:pPr>
        <w:pStyle w:val="PolicyBullet"/>
        <w:ind w:left="312" w:hanging="142"/>
      </w:pPr>
      <w:r>
        <w:rPr>
          <w:rFonts w:ascii="Aptos" w:hAnsi="Aptos"/>
        </w:rPr>
        <w:t>Report bullying, harassment or safeguarding concerns affecting themselves or others as early as they feel able.</w:t>
      </w:r>
    </w:p>
    <w:p>
      <w:pPr>
        <w:pStyle w:val="PolicyBullet"/>
        <w:ind w:left="312" w:hanging="142"/>
      </w:pPr>
      <w:r>
        <w:rPr>
          <w:rFonts w:ascii="Aptos" w:hAnsi="Aptos"/>
        </w:rPr>
        <w:t>Preserve relevant evidence such as messages, screenshots or dates where safe to do so; learners should not put themselves at risk to obtain evidence.</w:t>
      </w:r>
    </w:p>
    <w:p>
      <w:pPr>
        <w:pStyle w:val="PolicyBullet"/>
        <w:ind w:left="312" w:hanging="142"/>
      </w:pPr>
      <w:r>
        <w:rPr>
          <w:rFonts w:ascii="Aptos" w:hAnsi="Aptos"/>
        </w:rPr>
        <w:t>Not retaliate against anyone who makes or supports a complaint.</w:t>
      </w:r>
    </w:p>
    <w:p>
      <w:pPr>
        <w:pStyle w:val="PolicyBullet"/>
        <w:ind w:left="312" w:hanging="142"/>
      </w:pPr>
      <w:r>
        <w:rPr>
          <w:rFonts w:ascii="Aptos" w:hAnsi="Aptos"/>
        </w:rPr>
        <w:t>Engage with support, investigation and reasonable protective measures where appropriate.</w:t>
      </w:r>
    </w:p>
    <w:p>
      <w:pPr>
        <w:pStyle w:val="Heading2"/>
      </w:pPr>
      <w:r>
        <w:rPr>
          <w:rFonts w:ascii="Aptos" w:hAnsi="Aptos"/>
        </w:rPr>
        <w:t>5.5 Employers and workplace mentors</w:t>
      </w:r>
    </w:p>
    <w:p>
      <w:pPr>
        <w:pStyle w:val="PolicyBullet"/>
        <w:ind w:left="312" w:hanging="142"/>
      </w:pPr>
      <w:r>
        <w:rPr>
          <w:rFonts w:ascii="Aptos" w:hAnsi="Aptos"/>
        </w:rPr>
        <w:t>Provide a safe, respectful working environment and take workplace bullying, harassment and safeguarding concerns seriously.</w:t>
      </w:r>
    </w:p>
    <w:p>
      <w:pPr>
        <w:pStyle w:val="PolicyBullet"/>
        <w:ind w:left="312" w:hanging="142"/>
      </w:pPr>
      <w:r>
        <w:rPr>
          <w:rFonts w:ascii="Aptos" w:hAnsi="Aptos"/>
        </w:rPr>
        <w:t>Work with Qualia Academy on the shared responsibility for the apprentice’s progress, development and wellbeing.</w:t>
      </w:r>
    </w:p>
    <w:p>
      <w:pPr>
        <w:pStyle w:val="PolicyBullet"/>
        <w:ind w:left="312" w:hanging="142"/>
      </w:pPr>
      <w:r>
        <w:rPr>
          <w:rFonts w:ascii="Aptos" w:hAnsi="Aptos"/>
        </w:rPr>
        <w:t>Ensure the apprentice has a clearly identifiable line manager or mentor and knows how to raise a concern if the concern relates to that person.</w:t>
      </w:r>
    </w:p>
    <w:p>
      <w:pPr>
        <w:pStyle w:val="PolicyBullet"/>
        <w:ind w:left="312" w:hanging="142"/>
      </w:pPr>
      <w:r>
        <w:rPr>
          <w:rFonts w:ascii="Aptos" w:hAnsi="Aptos"/>
        </w:rPr>
        <w:t>Cooperate with reasonable safeguarding or investigation actions and with referrals to external agencies where required.</w:t>
      </w:r>
    </w:p>
    <w:p>
      <w:pPr>
        <w:pStyle w:val="PolicyBullet"/>
        <w:ind w:left="312" w:hanging="142"/>
      </w:pPr>
      <w:r>
        <w:rPr>
          <w:rFonts w:ascii="Aptos" w:hAnsi="Aptos"/>
        </w:rPr>
        <w:t>Ensure that workplace disciplinary or HR action does not obstruct a safeguarding, social-care or police investigation.</w:t>
      </w:r>
    </w:p>
    <w:p>
      <w:pPr>
        <w:pStyle w:val="PolicyBullet"/>
        <w:ind w:left="312" w:hanging="142"/>
      </w:pPr>
      <w:r>
        <w:rPr>
          <w:rFonts w:ascii="Aptos" w:hAnsi="Aptos"/>
        </w:rPr>
        <w:t>From 30 October 2026, employers should be prepared for the strengthened Employment Rights Act 2025 duties requiring all reasonable steps to prevent sexual harassment of employees and obligations concerning third-party harassment.</w:t>
      </w:r>
    </w:p>
    <w:p>
      <w:pPr>
        <w:pStyle w:val="Heading2"/>
      </w:pPr>
      <w:r>
        <w:rPr>
          <w:rFonts w:ascii="Aptos" w:hAnsi="Aptos"/>
        </w:rPr>
        <w:t>5.6 Subcontractors and delivery partners</w:t>
      </w:r>
    </w:p>
    <w:p>
      <w:r>
        <w:rPr>
          <w:rFonts w:ascii="Aptos" w:hAnsi="Aptos"/>
        </w:rPr>
        <w:t>Where Qualia Academy is the directly funded provider, it retains overall responsibility for the quality and safeguarding of training delivered by subcontractors. Subcontractors and partners must follow contractual safeguarding, equality, reporting and information-sharing requirements and notify Qualia Academy promptly of relevant concerns.</w:t>
      </w:r>
    </w:p>
    <w:p>
      <w:pPr>
        <w:pStyle w:val="Heading1"/>
      </w:pPr>
      <w:r>
        <w:rPr>
          <w:rFonts w:ascii="Aptos" w:hAnsi="Aptos"/>
        </w:rPr>
        <w:t>6. Apprenticeships, employers and workplace concerns</w:t>
      </w:r>
    </w:p>
    <w:p>
      <w:r>
        <w:rPr>
          <w:rFonts w:ascii="Aptos" w:hAnsi="Aptos"/>
        </w:rPr>
        <w:t>Apprentices are both learners and employees. Bullying or harassment may therefore occur within training, in the workplace, between apprentices, by managers or colleagues, by customers or service users, online, or across several settings at once.</w:t>
      </w:r>
    </w:p>
    <w:p>
      <w:r>
        <w:rPr>
          <w:rFonts w:ascii="Aptos" w:hAnsi="Aptos"/>
        </w:rPr>
        <w:t>Government guidance for apprenticeship providers expects providers to have safeguarding arrangements for the safety and wellbeing of all apprentices, including concerns arising at work or in personal life, and to work with employers on the apprentice’s progress, development and wellbeing.</w:t>
      </w:r>
    </w:p>
    <w:p>
      <w:pPr>
        <w:pStyle w:val="Heading2"/>
      </w:pPr>
      <w:r>
        <w:rPr>
          <w:rFonts w:ascii="Aptos" w:hAnsi="Aptos"/>
        </w:rPr>
        <w:t>6.1 Progress reviews and learner voice</w:t>
      </w:r>
    </w:p>
    <w:p>
      <w:pPr>
        <w:pStyle w:val="PolicyBullet"/>
        <w:ind w:left="312" w:hanging="142"/>
      </w:pPr>
      <w:r>
        <w:rPr>
          <w:rFonts w:ascii="Aptos" w:hAnsi="Aptos"/>
        </w:rPr>
        <w:t>Progress reviews should include an opportunity for the apprentice to discuss wellbeing, support, the workplace-learning environment and any concerns.</w:t>
      </w:r>
    </w:p>
    <w:p>
      <w:pPr>
        <w:pStyle w:val="PolicyBullet"/>
        <w:ind w:left="312" w:hanging="142"/>
      </w:pPr>
      <w:r>
        <w:rPr>
          <w:rFonts w:ascii="Aptos" w:hAnsi="Aptos"/>
        </w:rPr>
        <w:t>Where appropriate, the provider should create opportunities for the apprentice to speak without the employer present, particularly where there may be a power imbalance or the concern relates to the workplace.</w:t>
      </w:r>
    </w:p>
    <w:p>
      <w:pPr>
        <w:pStyle w:val="PolicyBullet"/>
        <w:ind w:left="312" w:hanging="142"/>
      </w:pPr>
      <w:r>
        <w:rPr>
          <w:rFonts w:ascii="Aptos" w:hAnsi="Aptos"/>
        </w:rPr>
        <w:t>Learners should be reminded throughout the programme, not only at induction, how to contact the DSL, raise a complaint and access pastoral support.</w:t>
      </w:r>
    </w:p>
    <w:p>
      <w:pPr>
        <w:pStyle w:val="PolicyBullet"/>
        <w:ind w:left="312" w:hanging="142"/>
      </w:pPr>
      <w:r>
        <w:rPr>
          <w:rFonts w:ascii="Aptos" w:hAnsi="Aptos"/>
        </w:rPr>
        <w:t>Patterns in withdrawals, non-attendance, complaints or employer/learner feedback should be considered for potential safeguarding or bullying/harassment themes.</w:t>
      </w:r>
    </w:p>
    <w:p>
      <w:pPr>
        <w:pStyle w:val="Heading2"/>
      </w:pPr>
      <w:r>
        <w:rPr>
          <w:rFonts w:ascii="Aptos" w:hAnsi="Aptos"/>
        </w:rPr>
        <w:t>6.2 Where the employer or workplace is the source of concern</w:t>
      </w:r>
    </w:p>
    <w:p>
      <w:pPr>
        <w:pStyle w:val="PolicyBullet"/>
        <w:ind w:left="312" w:hanging="142"/>
      </w:pPr>
      <w:r>
        <w:rPr>
          <w:rFonts w:ascii="Aptos" w:hAnsi="Aptos"/>
        </w:rPr>
        <w:t>The apprentice is not required to raise the concern directly with the alleged perpetrator or through a line manager who is implicated.</w:t>
      </w:r>
    </w:p>
    <w:p>
      <w:pPr>
        <w:pStyle w:val="PolicyBullet"/>
        <w:ind w:left="312" w:hanging="142"/>
      </w:pPr>
      <w:r>
        <w:rPr>
          <w:rFonts w:ascii="Aptos" w:hAnsi="Aptos"/>
        </w:rPr>
        <w:t>Qualia Academy may contact an appropriate employer safeguarding, HR or senior-management contact, subject to the wishes and safety of the learner and any statutory safeguarding requirements.</w:t>
      </w:r>
    </w:p>
    <w:p>
      <w:pPr>
        <w:pStyle w:val="PolicyBullet"/>
        <w:ind w:left="312" w:hanging="142"/>
      </w:pPr>
      <w:r>
        <w:rPr>
          <w:rFonts w:ascii="Aptos" w:hAnsi="Aptos"/>
        </w:rPr>
        <w:t>Where an apprentice under 18 may be at risk of harm, the DSL will consider children’s social care and/or LADO/police referral in accordance with local procedures.</w:t>
      </w:r>
    </w:p>
    <w:p>
      <w:pPr>
        <w:pStyle w:val="PolicyBullet"/>
        <w:ind w:left="312" w:hanging="142"/>
      </w:pPr>
      <w:r>
        <w:rPr>
          <w:rFonts w:ascii="Aptos" w:hAnsi="Aptos"/>
        </w:rPr>
        <w:t>Where an adult apprentice may meet the Care Act definition of an adult at risk, the DSL will consider adult safeguarding referral.</w:t>
      </w:r>
    </w:p>
    <w:p>
      <w:pPr>
        <w:pStyle w:val="PolicyBullet"/>
        <w:ind w:left="312" w:hanging="142"/>
      </w:pPr>
      <w:r>
        <w:rPr>
          <w:rFonts w:ascii="Aptos" w:hAnsi="Aptos"/>
        </w:rPr>
        <w:t>Where the workplace cannot provide safe conditions for training, Qualia Academy will consider immediate protective arrangements, including pausing workplace activity or seeking alternative arrangements where practicable, while liaising with the employer and relevant agencies.</w:t>
      </w:r>
    </w:p>
    <w:p>
      <w:pPr>
        <w:pStyle w:val="Heading1"/>
      </w:pPr>
      <w:r>
        <w:rPr>
          <w:rFonts w:ascii="Aptos" w:hAnsi="Aptos"/>
        </w:rPr>
        <w:t>7. Child-on-child abuse and learners under 18</w:t>
      </w:r>
    </w:p>
    <w:p>
      <w:r>
        <w:rPr>
          <w:rFonts w:ascii="Aptos" w:hAnsi="Aptos"/>
        </w:rPr>
        <w:t>For learners under 18, bullying and harassment may also constitute child-on-child abuse. This can happen inside or outside training, at work, in the community and online. The absence of reports does not mean abuse is not happening.</w:t>
      </w:r>
    </w:p>
    <w:p>
      <w:r>
        <w:rPr>
          <w:rFonts w:ascii="Aptos" w:hAnsi="Aptos"/>
        </w:rPr>
        <w:t>Child-on-child abuse may include:</w:t>
      </w:r>
    </w:p>
    <w:p>
      <w:pPr>
        <w:pStyle w:val="PolicyBullet"/>
        <w:ind w:left="312" w:hanging="142"/>
      </w:pPr>
      <w:r>
        <w:rPr>
          <w:rFonts w:ascii="Aptos" w:hAnsi="Aptos"/>
        </w:rPr>
        <w:t>bullying, including cyberbullying and prejudice-based or discriminatory bullying;</w:t>
      </w:r>
    </w:p>
    <w:p>
      <w:pPr>
        <w:pStyle w:val="PolicyBullet"/>
        <w:ind w:left="312" w:hanging="142"/>
      </w:pPr>
      <w:r>
        <w:rPr>
          <w:rFonts w:ascii="Aptos" w:hAnsi="Aptos"/>
        </w:rPr>
        <w:t>abuse in intimate personal relationships, including teenage relationship abuse and coercive control;</w:t>
      </w:r>
    </w:p>
    <w:p>
      <w:pPr>
        <w:pStyle w:val="PolicyBullet"/>
        <w:ind w:left="312" w:hanging="142"/>
      </w:pPr>
      <w:r>
        <w:rPr>
          <w:rFonts w:ascii="Aptos" w:hAnsi="Aptos"/>
        </w:rPr>
        <w:t>physical abuse, assault or threats of harm;</w:t>
      </w:r>
    </w:p>
    <w:p>
      <w:pPr>
        <w:pStyle w:val="PolicyBullet"/>
        <w:ind w:left="312" w:hanging="142"/>
      </w:pPr>
      <w:r>
        <w:rPr>
          <w:rFonts w:ascii="Aptos" w:hAnsi="Aptos"/>
        </w:rPr>
        <w:t>harmful sexual behaviour, sexual harassment or sexual violence;</w:t>
      </w:r>
    </w:p>
    <w:p>
      <w:pPr>
        <w:pStyle w:val="PolicyBullet"/>
        <w:ind w:left="312" w:hanging="142"/>
      </w:pPr>
      <w:r>
        <w:rPr>
          <w:rFonts w:ascii="Aptos" w:hAnsi="Aptos"/>
        </w:rPr>
        <w:t>making or sharing nudes or semi-nudes, including AI-generated images of a child;</w:t>
      </w:r>
    </w:p>
    <w:p>
      <w:pPr>
        <w:pStyle w:val="PolicyBullet"/>
        <w:ind w:left="312" w:hanging="142"/>
      </w:pPr>
      <w:r>
        <w:rPr>
          <w:rFonts w:ascii="Aptos" w:hAnsi="Aptos"/>
        </w:rPr>
        <w:t>forcing or pressuring someone to engage in sexual activity;</w:t>
      </w:r>
    </w:p>
    <w:p>
      <w:pPr>
        <w:pStyle w:val="PolicyBullet"/>
        <w:ind w:left="312" w:hanging="142"/>
      </w:pPr>
      <w:r>
        <w:rPr>
          <w:rFonts w:ascii="Aptos" w:hAnsi="Aptos"/>
        </w:rPr>
        <w:t>upskirting;</w:t>
      </w:r>
    </w:p>
    <w:p>
      <w:pPr>
        <w:pStyle w:val="PolicyBullet"/>
        <w:ind w:left="312" w:hanging="142"/>
      </w:pPr>
      <w:r>
        <w:rPr>
          <w:rFonts w:ascii="Aptos" w:hAnsi="Aptos"/>
        </w:rPr>
        <w:t>initiation or hazing-type violence and rituals;</w:t>
      </w:r>
    </w:p>
    <w:p>
      <w:pPr>
        <w:pStyle w:val="PolicyBullet"/>
        <w:ind w:left="312" w:hanging="142"/>
      </w:pPr>
      <w:r>
        <w:rPr>
          <w:rFonts w:ascii="Aptos" w:hAnsi="Aptos"/>
        </w:rPr>
        <w:t>online abuse, exploitation or group-based harassment.</w:t>
      </w:r>
    </w:p>
    <w:tbl>
      <w:tblPr>
        <w:tblW w:type="auto" w:w="0"/>
        <w:jc w:val="center"/>
        <w:tblLook w:firstColumn="1" w:firstRow="1" w:lastColumn="0" w:lastRow="0" w:noHBand="0" w:noVBand="1" w:val="04A0"/>
      </w:tblPr>
      <w:tblGrid>
        <w:gridCol w:w="9866"/>
      </w:tblGrid>
      <w:tr>
        <w:tc>
          <w:tcPr>
            <w:tcW w:type="dxa" w:w="9866"/>
            <w:shd w:fill="FDEEEE"/>
            <w:tcMar>
              <w:top w:w="120" w:type="dxa"/>
              <w:start w:w="140" w:type="dxa"/>
              <w:bottom w:w="120" w:type="dxa"/>
              <w:end w:w="140" w:type="dxa"/>
            </w:tcMar>
            <w:vAlign w:val="top"/>
          </w:tcPr>
          <w:p>
            <w:pPr>
              <w:spacing w:after="50"/>
            </w:pPr>
            <w:r>
              <w:rPr>
                <w:rFonts w:ascii="Aptos" w:hAnsi="Aptos"/>
                <w:b/>
                <w:color w:val="362D4E"/>
                <w:sz w:val="21"/>
              </w:rPr>
              <w:t>Safeguarding threshold</w:t>
            </w:r>
          </w:p>
          <w:p>
            <w:pPr>
              <w:spacing w:after="50"/>
            </w:pPr>
            <w:r>
              <w:rPr>
                <w:rFonts w:ascii="Aptos" w:hAnsi="Aptos"/>
                <w:sz w:val="20"/>
              </w:rPr>
              <w:t>Where a concern involving a child may amount to abuse, exploitation or significant harm, the safeguarding procedure takes priority over this complaints procedure. Staff must inform the DSL promptly. The Academy will not delay protective action while waiting for an internal complaint or disciplinary process to conclude.</w:t>
            </w:r>
          </w:p>
        </w:tc>
      </w:tr>
    </w:tbl>
    <w:p>
      <w:pPr>
        <w:spacing w:after="0"/>
      </w:pPr>
    </w:p>
    <w:p>
      <w:pPr>
        <w:pStyle w:val="Heading1"/>
      </w:pPr>
      <w:r>
        <w:rPr>
          <w:rFonts w:ascii="Aptos" w:hAnsi="Aptos"/>
        </w:rPr>
        <w:t>8. Sexual harassment, harmful sexual behaviour and sexual violence</w:t>
      </w:r>
    </w:p>
    <w:p>
      <w:r>
        <w:rPr>
          <w:rFonts w:ascii="Aptos" w:hAnsi="Aptos"/>
        </w:rPr>
        <w:t>Qualia Academy recognises harmful sexual behaviour as a safeguarding issue that may exist on a continuum and may escalate if inappropriate behaviour is normalised or left unchallenged. Sexual harassment and sexual violence can occur online or face-to-face and can affect learners of any sex or gender.</w:t>
      </w:r>
    </w:p>
    <w:p>
      <w:pPr>
        <w:pStyle w:val="PolicyBullet"/>
        <w:ind w:left="312" w:hanging="142"/>
      </w:pPr>
      <w:r>
        <w:rPr>
          <w:rFonts w:ascii="Aptos" w:hAnsi="Aptos"/>
        </w:rPr>
        <w:t>All reports will be taken seriously and considered on a case-by-case basis.</w:t>
      </w:r>
    </w:p>
    <w:p>
      <w:pPr>
        <w:pStyle w:val="PolicyBullet"/>
        <w:ind w:left="312" w:hanging="142"/>
      </w:pPr>
      <w:r>
        <w:rPr>
          <w:rFonts w:ascii="Aptos" w:hAnsi="Aptos"/>
        </w:rPr>
        <w:t>The wishes of the victim will be considered alongside safeguarding duties and the need to protect other learners.</w:t>
      </w:r>
    </w:p>
    <w:p>
      <w:pPr>
        <w:pStyle w:val="PolicyBullet"/>
        <w:ind w:left="312" w:hanging="142"/>
      </w:pPr>
      <w:r>
        <w:rPr>
          <w:rFonts w:ascii="Aptos" w:hAnsi="Aptos"/>
        </w:rPr>
        <w:t>Victims will be reassured that they are being taken seriously, supported and kept safe.</w:t>
      </w:r>
    </w:p>
    <w:p>
      <w:pPr>
        <w:pStyle w:val="PolicyBullet"/>
        <w:ind w:left="312" w:hanging="142"/>
      </w:pPr>
      <w:r>
        <w:rPr>
          <w:rFonts w:ascii="Aptos" w:hAnsi="Aptos"/>
        </w:rPr>
        <w:t>Staff will consider ongoing risk, proximity between the victim and alleged perpetrator, workplace or classroom arrangements, transport, online contact and any wider group dynamics.</w:t>
      </w:r>
    </w:p>
    <w:p>
      <w:pPr>
        <w:pStyle w:val="PolicyBullet"/>
        <w:ind w:left="312" w:hanging="142"/>
      </w:pPr>
      <w:r>
        <w:rPr>
          <w:rFonts w:ascii="Aptos" w:hAnsi="Aptos"/>
        </w:rPr>
        <w:t>Where a crime may have been committed or a child is at risk of harm, the DSL will consider referral to children’s social care and/or police and will follow advice on when and how the alleged perpetrator should be informed.</w:t>
      </w:r>
    </w:p>
    <w:p>
      <w:pPr>
        <w:pStyle w:val="PolicyBullet"/>
        <w:ind w:left="312" w:hanging="142"/>
      </w:pPr>
      <w:r>
        <w:rPr>
          <w:rFonts w:ascii="Aptos" w:hAnsi="Aptos"/>
        </w:rPr>
        <w:t>All concerns, discussions, decisions and the rationale for decisions will be recorded.</w:t>
      </w:r>
    </w:p>
    <w:p>
      <w:pPr>
        <w:pStyle w:val="Heading1"/>
      </w:pPr>
      <w:r>
        <w:rPr>
          <w:rFonts w:ascii="Aptos" w:hAnsi="Aptos"/>
        </w:rPr>
        <w:t>9. Cyberbullying, online harassment and AI-facilitated abuse</w:t>
      </w:r>
    </w:p>
    <w:p>
      <w:r>
        <w:rPr>
          <w:rFonts w:ascii="Aptos" w:hAnsi="Aptos"/>
        </w:rPr>
        <w:t>Technology is a significant component of modern safeguarding and wellbeing risks. Harm may occur online and offline at the same time. Qualia Academy treats online behaviour with the same seriousness as equivalent face-to-face conduct.</w:t>
      </w:r>
    </w:p>
    <w:p>
      <w:r>
        <w:rPr>
          <w:rFonts w:ascii="Aptos" w:hAnsi="Aptos"/>
        </w:rPr>
        <w:t>Online risk may include harmful content, harmful contact, harmful conduct and commercial or financial exploitation. For bullying and harassment, particular concerns include:</w:t>
      </w:r>
    </w:p>
    <w:p>
      <w:pPr>
        <w:pStyle w:val="PolicyBullet"/>
        <w:ind w:left="312" w:hanging="142"/>
      </w:pPr>
      <w:r>
        <w:rPr>
          <w:rFonts w:ascii="Aptos" w:hAnsi="Aptos"/>
        </w:rPr>
        <w:t>sexualised online bullying and unwanted sexual comments or messages;</w:t>
      </w:r>
    </w:p>
    <w:p>
      <w:pPr>
        <w:pStyle w:val="PolicyBullet"/>
        <w:ind w:left="312" w:hanging="142"/>
      </w:pPr>
      <w:r>
        <w:rPr>
          <w:rFonts w:ascii="Aptos" w:hAnsi="Aptos"/>
        </w:rPr>
        <w:t>non-consensual sharing of intimate images or threats to share them;</w:t>
      </w:r>
    </w:p>
    <w:p>
      <w:pPr>
        <w:pStyle w:val="PolicyBullet"/>
        <w:ind w:left="312" w:hanging="142"/>
      </w:pPr>
      <w:r>
        <w:rPr>
          <w:rFonts w:ascii="Aptos" w:hAnsi="Aptos"/>
        </w:rPr>
        <w:t>AI-generated or manipulated nude or sexual images, deepfakes or synthetic media;</w:t>
      </w:r>
    </w:p>
    <w:p>
      <w:pPr>
        <w:pStyle w:val="PolicyBullet"/>
        <w:ind w:left="312" w:hanging="142"/>
      </w:pPr>
      <w:r>
        <w:rPr>
          <w:rFonts w:ascii="Aptos" w:hAnsi="Aptos"/>
        </w:rPr>
        <w:t>fake accounts, impersonation or identity misuse;</w:t>
      </w:r>
    </w:p>
    <w:p>
      <w:pPr>
        <w:pStyle w:val="PolicyBullet"/>
        <w:ind w:left="312" w:hanging="142"/>
      </w:pPr>
      <w:r>
        <w:rPr>
          <w:rFonts w:ascii="Aptos" w:hAnsi="Aptos"/>
        </w:rPr>
        <w:t>online hate, racism, misogyny or discriminatory content directed at learners or staff;</w:t>
      </w:r>
    </w:p>
    <w:p>
      <w:pPr>
        <w:pStyle w:val="PolicyBullet"/>
        <w:ind w:left="312" w:hanging="142"/>
      </w:pPr>
      <w:r>
        <w:rPr>
          <w:rFonts w:ascii="Aptos" w:hAnsi="Aptos"/>
        </w:rPr>
        <w:t>coordinated harassment, exclusion, doxxing or threats;</w:t>
      </w:r>
    </w:p>
    <w:p>
      <w:pPr>
        <w:pStyle w:val="PolicyBullet"/>
        <w:ind w:left="312" w:hanging="142"/>
      </w:pPr>
      <w:r>
        <w:rPr>
          <w:rFonts w:ascii="Aptos" w:hAnsi="Aptos"/>
        </w:rPr>
        <w:t>generative-AI services being used to create humiliating, abusive or sexual material about a person;</w:t>
      </w:r>
    </w:p>
    <w:p>
      <w:pPr>
        <w:pStyle w:val="PolicyBullet"/>
        <w:ind w:left="312" w:hanging="142"/>
      </w:pPr>
      <w:r>
        <w:rPr>
          <w:rFonts w:ascii="Aptos" w:hAnsi="Aptos"/>
        </w:rPr>
        <w:t>contact with AI applications or other users that manipulates, coerces, grooms or exploits a child or vulnerable learner.</w:t>
      </w:r>
    </w:p>
    <w:p>
      <w:r>
        <w:rPr>
          <w:rFonts w:ascii="Aptos" w:hAnsi="Aptos"/>
        </w:rPr>
        <w:t>Where Qualia Academy uses filtering or monitoring systems, these will be governed through the relevant safeguarding and online-safety arrangements. Staff are expected to know how to report online concerns and preserve evidence without unnecessary circulation of harmful or sexual material.</w:t>
      </w:r>
    </w:p>
    <w:p>
      <w:pPr>
        <w:pStyle w:val="Heading1"/>
      </w:pPr>
      <w:r>
        <w:rPr>
          <w:rFonts w:ascii="Aptos" w:hAnsi="Aptos"/>
        </w:rPr>
        <w:t>10. Adult learners and adults at risk</w:t>
      </w:r>
    </w:p>
    <w:p>
      <w:r>
        <w:rPr>
          <w:rFonts w:ascii="Aptos" w:hAnsi="Aptos"/>
        </w:rPr>
        <w:t>Most adult learners will not meet the statutory definition of an adult at risk. However, where an adult has care and support needs, is experiencing or at risk of abuse or neglect, and because of those needs is unable to protect themselves, the Care Act 2014 safeguarding duties may apply.</w:t>
      </w:r>
    </w:p>
    <w:p>
      <w:r>
        <w:rPr>
          <w:rFonts w:ascii="Aptos" w:hAnsi="Aptos"/>
        </w:rPr>
        <w:t>Bullying and harassment can overlap with adult safeguarding concerns, including psychological abuse, sexual abuse, discriminatory abuse, domestic abuse, coercion, financial abuse, cyberbullying and organisational abuse.</w:t>
      </w:r>
    </w:p>
    <w:p>
      <w:pPr>
        <w:pStyle w:val="PolicyBullet"/>
        <w:ind w:left="312" w:hanging="142"/>
      </w:pPr>
      <w:r>
        <w:rPr>
          <w:rFonts w:ascii="Aptos" w:hAnsi="Aptos"/>
        </w:rPr>
        <w:t>Where an adult safeguarding concern is identified, the DSL or designated safeguarding person will consider the adult’s wishes, desired outcomes, capacity, immediate safety and risk to others.</w:t>
      </w:r>
    </w:p>
    <w:p>
      <w:pPr>
        <w:pStyle w:val="PolicyBullet"/>
        <w:ind w:left="312" w:hanging="142"/>
      </w:pPr>
      <w:r>
        <w:rPr>
          <w:rFonts w:ascii="Aptos" w:hAnsi="Aptos"/>
        </w:rPr>
        <w:t>Information will be shared proportionately with the local authority or other agencies where required.</w:t>
      </w:r>
    </w:p>
    <w:p>
      <w:pPr>
        <w:pStyle w:val="PolicyBullet"/>
        <w:ind w:left="312" w:hanging="142"/>
      </w:pPr>
      <w:r>
        <w:rPr>
          <w:rFonts w:ascii="Aptos" w:hAnsi="Aptos"/>
        </w:rPr>
        <w:t>Learners will be supported to participate in safeguarding processes and to access advocacy where applicable.</w:t>
      </w:r>
    </w:p>
    <w:p>
      <w:pPr>
        <w:pStyle w:val="PolicyBullet"/>
        <w:ind w:left="312" w:hanging="142"/>
      </w:pPr>
      <w:r>
        <w:rPr>
          <w:rFonts w:ascii="Aptos" w:hAnsi="Aptos"/>
        </w:rPr>
        <w:t>Where allegations concern a person working with adults at risk, the Academy will follow appropriate person-in-a-position-of-trust and DBS referral arrangements where thresholds are met.</w:t>
      </w:r>
    </w:p>
    <w:p>
      <w:pPr>
        <w:pStyle w:val="Heading1"/>
      </w:pPr>
      <w:r>
        <w:rPr>
          <w:rFonts w:ascii="Aptos" w:hAnsi="Aptos"/>
        </w:rPr>
        <w:t>11. Prevention, induction and training</w:t>
      </w:r>
    </w:p>
    <w:p>
      <w:r>
        <w:rPr>
          <w:rFonts w:ascii="Aptos" w:hAnsi="Aptos"/>
        </w:rPr>
        <w:t>Prevention is a core part of this policy. Qualia Academy will not rely only on responding after harm has occurred.</w:t>
      </w:r>
    </w:p>
    <w:p>
      <w:pPr>
        <w:pStyle w:val="PolicyBullet"/>
        <w:ind w:left="312" w:hanging="142"/>
      </w:pPr>
      <w:r>
        <w:rPr>
          <w:rFonts w:ascii="Aptos" w:hAnsi="Aptos"/>
        </w:rPr>
        <w:t>Learner induction will explain expected behaviour, bullying, harassment, sexual harassment, cyberbullying, safeguarding reporting routes, complaints and available support.</w:t>
      </w:r>
    </w:p>
    <w:p>
      <w:pPr>
        <w:pStyle w:val="PolicyBullet"/>
        <w:ind w:left="312" w:hanging="142"/>
      </w:pPr>
      <w:r>
        <w:rPr>
          <w:rFonts w:ascii="Aptos" w:hAnsi="Aptos"/>
        </w:rPr>
        <w:t>Apprentices will be told how to raise concerns about the provider, employer, workplace, tutor, assessor, manager or another learner without being required to report through the person complained about.</w:t>
      </w:r>
    </w:p>
    <w:p>
      <w:pPr>
        <w:pStyle w:val="PolicyBullet"/>
        <w:ind w:left="312" w:hanging="142"/>
      </w:pPr>
      <w:r>
        <w:rPr>
          <w:rFonts w:ascii="Aptos" w:hAnsi="Aptos"/>
        </w:rPr>
        <w:t>Staff induction and refresher training will include safeguarding, child-on-child abuse, online safety, equality, discriminatory bullying, sexual harassment, reporting and professional boundaries appropriate to role.</w:t>
      </w:r>
    </w:p>
    <w:p>
      <w:pPr>
        <w:pStyle w:val="PolicyBullet"/>
        <w:ind w:left="312" w:hanging="142"/>
      </w:pPr>
      <w:r>
        <w:rPr>
          <w:rFonts w:ascii="Aptos" w:hAnsi="Aptos"/>
        </w:rPr>
        <w:t>Staff working with children will receive safeguarding updates at least annually and training will be refreshed as required when statutory guidance changes.</w:t>
      </w:r>
    </w:p>
    <w:p>
      <w:pPr>
        <w:pStyle w:val="PolicyBullet"/>
        <w:ind w:left="312" w:hanging="142"/>
      </w:pPr>
      <w:r>
        <w:rPr>
          <w:rFonts w:ascii="Aptos" w:hAnsi="Aptos"/>
        </w:rPr>
        <w:t>The Academy will promote inclusive, anti-discriminatory practice and challenge racism and discrimination, reflecting Working Together to Safeguard Children 2026.</w:t>
      </w:r>
    </w:p>
    <w:p>
      <w:pPr>
        <w:pStyle w:val="PolicyBullet"/>
        <w:ind w:left="312" w:hanging="142"/>
      </w:pPr>
      <w:r>
        <w:rPr>
          <w:rFonts w:ascii="Aptos" w:hAnsi="Aptos"/>
        </w:rPr>
        <w:t>Employers will be made aware of shared wellbeing and safeguarding responsibilities and relevant routes for escalating concerns.</w:t>
      </w:r>
    </w:p>
    <w:p>
      <w:pPr>
        <w:pStyle w:val="PolicyBullet"/>
        <w:ind w:left="312" w:hanging="142"/>
      </w:pPr>
      <w:r>
        <w:rPr>
          <w:rFonts w:ascii="Aptos" w:hAnsi="Aptos"/>
        </w:rPr>
        <w:t>The Academy will use learner and apprentice voice, complaints, safeguarding data, employer feedback and quality assurance to identify hidden or under-reported harm.</w:t>
      </w:r>
    </w:p>
    <w:p>
      <w:pPr>
        <w:pStyle w:val="PolicyBullet"/>
        <w:ind w:left="312" w:hanging="142"/>
      </w:pPr>
      <w:r>
        <w:rPr>
          <w:rFonts w:ascii="Aptos" w:hAnsi="Aptos"/>
        </w:rPr>
        <w:t>Where serious bullying or harassment is affecting mental health, staff will consider whether the concern has become a safeguarding matter and will signpost or refer to appropriate support.</w:t>
      </w:r>
    </w:p>
    <w:p>
      <w:pPr>
        <w:pStyle w:val="Heading1"/>
      </w:pPr>
      <w:r>
        <w:rPr>
          <w:rFonts w:ascii="Aptos" w:hAnsi="Aptos"/>
        </w:rPr>
        <w:t>12. Reporting concerns and complaints</w:t>
      </w:r>
    </w:p>
    <w:p>
      <w:r>
        <w:rPr>
          <w:rFonts w:ascii="Aptos" w:hAnsi="Aptos"/>
        </w:rPr>
        <w:t>A concern may be raised by the person affected, a witness, a friend, a parent/carer where appropriate, an employer, a member of staff or another stakeholder. Reports may be informal or formal. A learner does not have to confront the person they are concerned about before making a report.</w:t>
      </w:r>
    </w:p>
    <w:p>
      <w:pPr>
        <w:pStyle w:val="Heading2"/>
      </w:pPr>
      <w:r>
        <w:rPr>
          <w:rFonts w:ascii="Aptos" w:hAnsi="Aptos"/>
        </w:rPr>
        <w:t>12.1 Ways concerns may arise</w:t>
      </w:r>
    </w:p>
    <w:p>
      <w:pPr>
        <w:pStyle w:val="PolicyBullet"/>
        <w:ind w:left="312" w:hanging="142"/>
      </w:pPr>
      <w:r>
        <w:rPr>
          <w:rFonts w:ascii="Aptos" w:hAnsi="Aptos"/>
        </w:rPr>
        <w:t>informal disclosure or request for advice;</w:t>
      </w:r>
    </w:p>
    <w:p>
      <w:pPr>
        <w:pStyle w:val="PolicyBullet"/>
        <w:ind w:left="312" w:hanging="142"/>
      </w:pPr>
      <w:r>
        <w:rPr>
          <w:rFonts w:ascii="Aptos" w:hAnsi="Aptos"/>
        </w:rPr>
        <w:t>formal written complaint;</w:t>
      </w:r>
    </w:p>
    <w:p>
      <w:pPr>
        <w:pStyle w:val="PolicyBullet"/>
        <w:ind w:left="312" w:hanging="142"/>
      </w:pPr>
      <w:r>
        <w:rPr>
          <w:rFonts w:ascii="Aptos" w:hAnsi="Aptos"/>
        </w:rPr>
        <w:t>third-party or witness report;</w:t>
      </w:r>
    </w:p>
    <w:p>
      <w:pPr>
        <w:pStyle w:val="PolicyBullet"/>
        <w:ind w:left="312" w:hanging="142"/>
      </w:pPr>
      <w:r>
        <w:rPr>
          <w:rFonts w:ascii="Aptos" w:hAnsi="Aptos"/>
        </w:rPr>
        <w:t>counter-complaint;</w:t>
      </w:r>
    </w:p>
    <w:p>
      <w:pPr>
        <w:pStyle w:val="PolicyBullet"/>
        <w:ind w:left="312" w:hanging="142"/>
      </w:pPr>
      <w:r>
        <w:rPr>
          <w:rFonts w:ascii="Aptos" w:hAnsi="Aptos"/>
        </w:rPr>
        <w:t>staff observation;</w:t>
      </w:r>
    </w:p>
    <w:p>
      <w:pPr>
        <w:pStyle w:val="PolicyBullet"/>
        <w:ind w:left="312" w:hanging="142"/>
      </w:pPr>
      <w:r>
        <w:rPr>
          <w:rFonts w:ascii="Aptos" w:hAnsi="Aptos"/>
        </w:rPr>
        <w:t>safeguarding disclosure;</w:t>
      </w:r>
    </w:p>
    <w:p>
      <w:pPr>
        <w:pStyle w:val="PolicyBullet"/>
        <w:ind w:left="312" w:hanging="142"/>
      </w:pPr>
      <w:r>
        <w:rPr>
          <w:rFonts w:ascii="Aptos" w:hAnsi="Aptos"/>
        </w:rPr>
        <w:t>employer or workplace report;</w:t>
      </w:r>
    </w:p>
    <w:p>
      <w:pPr>
        <w:pStyle w:val="PolicyBullet"/>
        <w:ind w:left="312" w:hanging="142"/>
      </w:pPr>
      <w:r>
        <w:rPr>
          <w:rFonts w:ascii="Aptos" w:hAnsi="Aptos"/>
        </w:rPr>
        <w:t>online evidence or digital platform report;</w:t>
      </w:r>
    </w:p>
    <w:p>
      <w:pPr>
        <w:pStyle w:val="PolicyBullet"/>
        <w:ind w:left="312" w:hanging="142"/>
      </w:pPr>
      <w:r>
        <w:rPr>
          <w:rFonts w:ascii="Aptos" w:hAnsi="Aptos"/>
        </w:rPr>
        <w:t>patterns identified through progress reviews, attendance, learner feedback or quality monitoring.</w:t>
      </w:r>
    </w:p>
    <w:p>
      <w:pPr>
        <w:pStyle w:val="Heading2"/>
      </w:pPr>
      <w:r>
        <w:rPr>
          <w:rFonts w:ascii="Aptos" w:hAnsi="Aptos"/>
        </w:rPr>
        <w:t>12.2 What to include where possible</w:t>
      </w:r>
    </w:p>
    <w:p>
      <w:pPr>
        <w:pStyle w:val="PolicyBullet"/>
        <w:ind w:left="312" w:hanging="142"/>
      </w:pPr>
      <w:r>
        <w:rPr>
          <w:rFonts w:ascii="Aptos" w:hAnsi="Aptos"/>
        </w:rPr>
        <w:t>what happened and why the behaviour is of concern;</w:t>
      </w:r>
    </w:p>
    <w:p>
      <w:pPr>
        <w:pStyle w:val="PolicyBullet"/>
        <w:ind w:left="312" w:hanging="142"/>
      </w:pPr>
      <w:r>
        <w:rPr>
          <w:rFonts w:ascii="Aptos" w:hAnsi="Aptos"/>
        </w:rPr>
        <w:t>dates, times and locations where known;</w:t>
      </w:r>
    </w:p>
    <w:p>
      <w:pPr>
        <w:pStyle w:val="PolicyBullet"/>
        <w:ind w:left="312" w:hanging="142"/>
      </w:pPr>
      <w:r>
        <w:rPr>
          <w:rFonts w:ascii="Aptos" w:hAnsi="Aptos"/>
        </w:rPr>
        <w:t>people involved and any witnesses;</w:t>
      </w:r>
    </w:p>
    <w:p>
      <w:pPr>
        <w:pStyle w:val="PolicyBullet"/>
        <w:ind w:left="312" w:hanging="142"/>
      </w:pPr>
      <w:r>
        <w:rPr>
          <w:rFonts w:ascii="Aptos" w:hAnsi="Aptos"/>
        </w:rPr>
        <w:t>any relevant messages, screenshots or documents already available;</w:t>
      </w:r>
    </w:p>
    <w:p>
      <w:pPr>
        <w:pStyle w:val="PolicyBullet"/>
        <w:ind w:left="312" w:hanging="142"/>
      </w:pPr>
      <w:r>
        <w:rPr>
          <w:rFonts w:ascii="Aptos" w:hAnsi="Aptos"/>
        </w:rPr>
        <w:t>how the behaviour has affected the person;</w:t>
      </w:r>
    </w:p>
    <w:p>
      <w:pPr>
        <w:pStyle w:val="PolicyBullet"/>
        <w:ind w:left="312" w:hanging="142"/>
      </w:pPr>
      <w:r>
        <w:rPr>
          <w:rFonts w:ascii="Aptos" w:hAnsi="Aptos"/>
        </w:rPr>
        <w:t>any immediate safety concerns or requested protective measures.</w:t>
      </w:r>
    </w:p>
    <w:p>
      <w:r>
        <w:rPr>
          <w:rFonts w:ascii="Aptos" w:hAnsi="Aptos"/>
        </w:rPr>
        <w:t>A lack of documentary evidence will not prevent a concern being heard. Qualia Academy recognises that people may delay reporting because of fear, shame, power imbalance, coercion, disability, communication needs or uncertainty about whether behaviour is serious enough.</w:t>
      </w:r>
    </w:p>
    <w:p>
      <w:pPr>
        <w:pStyle w:val="Heading2"/>
      </w:pPr>
      <w:r>
        <w:rPr>
          <w:rFonts w:ascii="Aptos" w:hAnsi="Aptos"/>
        </w:rPr>
        <w:t>12.3 Reporting routes</w:t>
      </w:r>
    </w:p>
    <w:p>
      <w:pPr>
        <w:pStyle w:val="PolicyBullet"/>
        <w:ind w:left="312" w:hanging="142"/>
      </w:pPr>
      <w:r>
        <w:rPr>
          <w:rFonts w:ascii="Aptos" w:hAnsi="Aptos"/>
        </w:rPr>
        <w:t>any trusted member of Qualia Academy staff;</w:t>
      </w:r>
    </w:p>
    <w:p>
      <w:pPr>
        <w:pStyle w:val="PolicyBullet"/>
        <w:ind w:left="312" w:hanging="142"/>
      </w:pPr>
      <w:r>
        <w:rPr>
          <w:rFonts w:ascii="Aptos" w:hAnsi="Aptos"/>
        </w:rPr>
        <w:t>personal tutor, assessor, coach or mentor;</w:t>
      </w:r>
    </w:p>
    <w:p>
      <w:pPr>
        <w:pStyle w:val="PolicyBullet"/>
        <w:ind w:left="312" w:hanging="142"/>
      </w:pPr>
      <w:r>
        <w:rPr>
          <w:rFonts w:ascii="Aptos" w:hAnsi="Aptos"/>
        </w:rPr>
        <w:t>Designated Safeguarding Lead (DSL) or Deputy DSL;</w:t>
      </w:r>
    </w:p>
    <w:p>
      <w:pPr>
        <w:pStyle w:val="PolicyBullet"/>
        <w:ind w:left="312" w:hanging="142"/>
      </w:pPr>
      <w:r>
        <w:rPr>
          <w:rFonts w:ascii="Aptos" w:hAnsi="Aptos"/>
        </w:rPr>
        <w:t>Head of Academy / senior manager where the complaint concerns the DSL or usual reporting route;</w:t>
      </w:r>
    </w:p>
    <w:p>
      <w:pPr>
        <w:pStyle w:val="PolicyBullet"/>
        <w:ind w:left="312" w:hanging="142"/>
      </w:pPr>
      <w:r>
        <w:rPr>
          <w:rFonts w:ascii="Aptos" w:hAnsi="Aptos"/>
        </w:rPr>
        <w:t>employer safeguarding/HR contact where appropriate, provided this does not compromise safety;</w:t>
      </w:r>
    </w:p>
    <w:p>
      <w:pPr>
        <w:pStyle w:val="PolicyBullet"/>
        <w:ind w:left="312" w:hanging="142"/>
      </w:pPr>
      <w:r>
        <w:rPr>
          <w:rFonts w:ascii="Aptos" w:hAnsi="Aptos"/>
        </w:rPr>
        <w:t>Whistleblowing route for staff where applicable.</w:t>
      </w:r>
    </w:p>
    <w:p>
      <w:r>
        <w:rPr>
          <w:rFonts w:ascii="Aptos" w:hAnsi="Aptos"/>
        </w:rPr>
        <w:t>Current DSL and Deputy DSL contact details are provided through learner induction materials, the learner handbook and safeguarding information. Role-based contact arrangements should be used in the live version of these materials so that learners are not dependent on outdated personal contact details.</w:t>
      </w:r>
    </w:p>
    <w:p>
      <w:pPr>
        <w:pStyle w:val="Heading1"/>
      </w:pPr>
      <w:r>
        <w:rPr>
          <w:rFonts w:ascii="Aptos" w:hAnsi="Aptos"/>
        </w:rPr>
        <w:t>13. Immediate safeguarding action and external referrals</w:t>
      </w:r>
    </w:p>
    <w:p>
      <w:r>
        <w:rPr>
          <w:rFonts w:ascii="Aptos" w:hAnsi="Aptos"/>
        </w:rPr>
        <w:t>Where there is immediate danger, serious injury, suspected criminal conduct, risk of significant harm to a child, or serious risk to an adult at risk, safeguarding action will not be delayed while an internal complaint is considered.</w:t>
      </w:r>
    </w:p>
    <w:p>
      <w:pPr>
        <w:pStyle w:val="PolicyBullet"/>
        <w:ind w:left="312" w:hanging="142"/>
      </w:pPr>
      <w:r>
        <w:rPr>
          <w:rFonts w:ascii="Aptos" w:hAnsi="Aptos"/>
        </w:rPr>
        <w:t>The DSL will consider referral to local authority children’s social care for children under 18 where statutory thresholds may be met.</w:t>
      </w:r>
    </w:p>
    <w:p>
      <w:pPr>
        <w:pStyle w:val="PolicyBullet"/>
        <w:ind w:left="312" w:hanging="142"/>
      </w:pPr>
      <w:r>
        <w:rPr>
          <w:rFonts w:ascii="Aptos" w:hAnsi="Aptos"/>
        </w:rPr>
        <w:t>Where an allegation concerns an adult working with children and may meet the harm threshold, Qualia Academy will consult the Local Authority Designated Officer (LADO) in line with local procedures.</w:t>
      </w:r>
    </w:p>
    <w:p>
      <w:pPr>
        <w:pStyle w:val="PolicyBullet"/>
        <w:ind w:left="312" w:hanging="142"/>
      </w:pPr>
      <w:r>
        <w:rPr>
          <w:rFonts w:ascii="Aptos" w:hAnsi="Aptos"/>
        </w:rPr>
        <w:t>Where an adult at risk may be experiencing abuse or neglect, the Academy will consider referral to the relevant local authority adult safeguarding service.</w:t>
      </w:r>
    </w:p>
    <w:p>
      <w:pPr>
        <w:pStyle w:val="PolicyBullet"/>
        <w:ind w:left="312" w:hanging="142"/>
      </w:pPr>
      <w:r>
        <w:rPr>
          <w:rFonts w:ascii="Aptos" w:hAnsi="Aptos"/>
        </w:rPr>
        <w:t>Where a crime may have been committed, the Academy may advise or support the victim to contact the police or may make a report directly where required to safeguard a child or adult at risk.</w:t>
      </w:r>
    </w:p>
    <w:p>
      <w:pPr>
        <w:pStyle w:val="PolicyBullet"/>
        <w:ind w:left="312" w:hanging="142"/>
      </w:pPr>
      <w:r>
        <w:rPr>
          <w:rFonts w:ascii="Aptos" w:hAnsi="Aptos"/>
        </w:rPr>
        <w:t>If children’s social care or police are involved, Qualia Academy will coordinate its internal actions so as not to undermine external investigations.</w:t>
      </w:r>
    </w:p>
    <w:p>
      <w:pPr>
        <w:pStyle w:val="PolicyBullet"/>
        <w:ind w:left="312" w:hanging="142"/>
      </w:pPr>
      <w:r>
        <w:rPr>
          <w:rFonts w:ascii="Aptos" w:hAnsi="Aptos"/>
        </w:rPr>
        <w:t>Parents or carers of a child will normally be involved where appropriate, unless doing so may increase risk or contradict advice from safeguarding agencies.</w:t>
      </w:r>
    </w:p>
    <w:p>
      <w:pPr>
        <w:pStyle w:val="Heading1"/>
      </w:pPr>
      <w:r>
        <w:rPr>
          <w:rFonts w:ascii="Aptos" w:hAnsi="Aptos"/>
        </w:rPr>
        <w:t>14. Informal resolution</w:t>
      </w:r>
    </w:p>
    <w:p>
      <w:r>
        <w:rPr>
          <w:rFonts w:ascii="Aptos" w:hAnsi="Aptos"/>
        </w:rPr>
        <w:t>Some lower-level interpersonal concerns may be suitable for informal resolution where the person affected wants this, there is no significant power imbalance or safeguarding risk, and informal action can be taken safely.</w:t>
      </w:r>
    </w:p>
    <w:p>
      <w:pPr>
        <w:pStyle w:val="PolicyBullet"/>
        <w:ind w:left="312" w:hanging="142"/>
      </w:pPr>
      <w:r>
        <w:rPr>
          <w:rFonts w:ascii="Aptos" w:hAnsi="Aptos"/>
        </w:rPr>
        <w:t>a supported conversation with a tutor, manager or neutral facilitator;</w:t>
      </w:r>
    </w:p>
    <w:p>
      <w:pPr>
        <w:pStyle w:val="PolicyBullet"/>
        <w:ind w:left="312" w:hanging="142"/>
      </w:pPr>
      <w:r>
        <w:rPr>
          <w:rFonts w:ascii="Aptos" w:hAnsi="Aptos"/>
        </w:rPr>
        <w:t>clear behavioural expectations and boundaries;</w:t>
      </w:r>
    </w:p>
    <w:p>
      <w:pPr>
        <w:pStyle w:val="PolicyBullet"/>
        <w:ind w:left="312" w:hanging="142"/>
      </w:pPr>
      <w:r>
        <w:rPr>
          <w:rFonts w:ascii="Aptos" w:hAnsi="Aptos"/>
        </w:rPr>
        <w:t>an apology or agreement about future conduct;</w:t>
      </w:r>
    </w:p>
    <w:p>
      <w:pPr>
        <w:pStyle w:val="PolicyBullet"/>
        <w:ind w:left="312" w:hanging="142"/>
      </w:pPr>
      <w:r>
        <w:rPr>
          <w:rFonts w:ascii="Aptos" w:hAnsi="Aptos"/>
        </w:rPr>
        <w:t>learning, coaching or anti-harassment education;</w:t>
      </w:r>
    </w:p>
    <w:p>
      <w:pPr>
        <w:pStyle w:val="PolicyBullet"/>
        <w:ind w:left="312" w:hanging="142"/>
      </w:pPr>
      <w:r>
        <w:rPr>
          <w:rFonts w:ascii="Aptos" w:hAnsi="Aptos"/>
        </w:rPr>
        <w:t>practical changes to communication or working arrangements;</w:t>
      </w:r>
    </w:p>
    <w:p>
      <w:pPr>
        <w:pStyle w:val="PolicyBullet"/>
        <w:ind w:left="312" w:hanging="142"/>
      </w:pPr>
      <w:r>
        <w:rPr>
          <w:rFonts w:ascii="Aptos" w:hAnsi="Aptos"/>
        </w:rPr>
        <w:t>monitoring through tutorials, progress reviews or one-to-one meetings.</w:t>
      </w:r>
    </w:p>
    <w:tbl>
      <w:tblPr>
        <w:tblW w:type="auto" w:w="0"/>
        <w:jc w:val="center"/>
        <w:tblLook w:firstColumn="1" w:firstRow="1" w:lastColumn="0" w:lastRow="0" w:noHBand="0" w:noVBand="1" w:val="04A0"/>
      </w:tblPr>
      <w:tblGrid>
        <w:gridCol w:w="9866"/>
      </w:tblGrid>
      <w:tr>
        <w:tc>
          <w:tcPr>
            <w:tcW w:type="dxa" w:w="9866"/>
            <w:shd w:fill="FFF1F1"/>
            <w:tcMar>
              <w:top w:w="120" w:type="dxa"/>
              <w:start w:w="140" w:type="dxa"/>
              <w:bottom w:w="120" w:type="dxa"/>
              <w:end w:w="140" w:type="dxa"/>
            </w:tcMar>
            <w:vAlign w:val="top"/>
          </w:tcPr>
          <w:p>
            <w:pPr>
              <w:spacing w:after="50"/>
            </w:pPr>
            <w:r>
              <w:rPr>
                <w:rFonts w:ascii="Aptos" w:hAnsi="Aptos"/>
                <w:b/>
                <w:color w:val="362D4E"/>
                <w:sz w:val="21"/>
              </w:rPr>
              <w:t>Informal resolution is not mandatory</w:t>
            </w:r>
          </w:p>
          <w:p>
            <w:pPr>
              <w:spacing w:after="50"/>
            </w:pPr>
            <w:r>
              <w:rPr>
                <w:rFonts w:ascii="Aptos" w:hAnsi="Aptos"/>
                <w:sz w:val="20"/>
              </w:rPr>
              <w:t>Informal resolution will not be used as a condition before a formal complaint, and will not be used to minimise sexual violence, coercive control, serious sexual harassment, hate incidents, stalking, threats, safeguarding concerns or other serious misconduct. A victim will never be required to meet or mediate with an alleged perpetrator.</w:t>
            </w:r>
          </w:p>
        </w:tc>
      </w:tr>
    </w:tbl>
    <w:p>
      <w:pPr>
        <w:spacing w:after="0"/>
      </w:pPr>
    </w:p>
    <w:p>
      <w:pPr>
        <w:pStyle w:val="Heading1"/>
      </w:pPr>
      <w:r>
        <w:rPr>
          <w:rFonts w:ascii="Aptos" w:hAnsi="Aptos"/>
        </w:rPr>
        <w:t>15. Formal investigation procedure</w:t>
      </w:r>
    </w:p>
    <w:p>
      <w:r>
        <w:rPr>
          <w:rFonts w:ascii="Aptos" w:hAnsi="Aptos"/>
        </w:rPr>
        <w:t>A formal investigation may be appropriate where informal resolution is unsafe, unwanted or unsuccessful, or where the seriousness of the concern requires formal action from the outset.</w:t>
      </w:r>
    </w:p>
    <w:p>
      <w:pPr>
        <w:pStyle w:val="PolicyBullet"/>
        <w:ind w:left="312" w:hanging="142"/>
      </w:pPr>
      <w:r>
        <w:rPr>
          <w:rFonts w:ascii="Aptos" w:hAnsi="Aptos"/>
        </w:rPr>
        <w:t>The complaint will be acknowledged and an appropriate investigator appointed.</w:t>
      </w:r>
    </w:p>
    <w:p>
      <w:pPr>
        <w:pStyle w:val="PolicyBullet"/>
        <w:ind w:left="312" w:hanging="142"/>
      </w:pPr>
      <w:r>
        <w:rPr>
          <w:rFonts w:ascii="Aptos" w:hAnsi="Aptos"/>
        </w:rPr>
        <w:t>Conflicts of interest will be identified and managed. A person who is the subject of the complaint will not investigate or determine it.</w:t>
      </w:r>
    </w:p>
    <w:p>
      <w:pPr>
        <w:pStyle w:val="PolicyBullet"/>
        <w:ind w:left="312" w:hanging="142"/>
      </w:pPr>
      <w:r>
        <w:rPr>
          <w:rFonts w:ascii="Aptos" w:hAnsi="Aptos"/>
        </w:rPr>
        <w:t>The investigator will define the allegations and gather relevant evidence proportionately.</w:t>
      </w:r>
    </w:p>
    <w:p>
      <w:pPr>
        <w:pStyle w:val="PolicyBullet"/>
        <w:ind w:left="312" w:hanging="142"/>
      </w:pPr>
      <w:r>
        <w:rPr>
          <w:rFonts w:ascii="Aptos" w:hAnsi="Aptos"/>
        </w:rPr>
        <w:t>The complainant and respondent will each have a fair opportunity to provide their account, subject to safeguarding, legal and external-agency restrictions.</w:t>
      </w:r>
    </w:p>
    <w:p>
      <w:pPr>
        <w:pStyle w:val="PolicyBullet"/>
        <w:ind w:left="312" w:hanging="142"/>
      </w:pPr>
      <w:r>
        <w:rPr>
          <w:rFonts w:ascii="Aptos" w:hAnsi="Aptos"/>
        </w:rPr>
        <w:t>Witnesses may be interviewed and relevant digital evidence, attendance records, progress-review records or communications may be considered where lawful and relevant.</w:t>
      </w:r>
    </w:p>
    <w:p>
      <w:pPr>
        <w:pStyle w:val="PolicyBullet"/>
        <w:ind w:left="312" w:hanging="142"/>
      </w:pPr>
      <w:r>
        <w:rPr>
          <w:rFonts w:ascii="Aptos" w:hAnsi="Aptos"/>
        </w:rPr>
        <w:t>The standard for internal findings is the balance of probabilities unless an applicable external procedure requires otherwise.</w:t>
      </w:r>
    </w:p>
    <w:p>
      <w:pPr>
        <w:pStyle w:val="PolicyBullet"/>
        <w:ind w:left="312" w:hanging="142"/>
      </w:pPr>
      <w:r>
        <w:rPr>
          <w:rFonts w:ascii="Aptos" w:hAnsi="Aptos"/>
        </w:rPr>
        <w:t>All significant decisions and the rationale for them will be recorded.</w:t>
      </w:r>
    </w:p>
    <w:p>
      <w:pPr>
        <w:pStyle w:val="PolicyBullet"/>
        <w:ind w:left="312" w:hanging="142"/>
      </w:pPr>
      <w:r>
        <w:rPr>
          <w:rFonts w:ascii="Aptos" w:hAnsi="Aptos"/>
        </w:rPr>
        <w:t>If new safeguarding information emerges, the investigation may be paused or adapted while the DSL seeks advice from social care, LADO or police.</w:t>
      </w:r>
    </w:p>
    <w:p>
      <w:pPr>
        <w:pStyle w:val="PolicyBullet"/>
        <w:ind w:left="312" w:hanging="142"/>
      </w:pPr>
      <w:r>
        <w:rPr>
          <w:rFonts w:ascii="Aptos" w:hAnsi="Aptos"/>
        </w:rPr>
        <w:t>The parties will be informed of the outcome in writing as soon as reasonably practicable after the investigation is concluded. If there is delay, they will be kept appropriately updated.</w:t>
      </w:r>
    </w:p>
    <w:p>
      <w:r>
        <w:rPr>
          <w:rFonts w:ascii="Aptos" w:hAnsi="Aptos"/>
        </w:rPr>
        <w:t>The Academy will share sufficient information to support a fair process but may withhold information where disclosure would breach safeguarding duties, data-protection requirements, legal privilege, confidentiality owed to another person or an external investigation.</w:t>
      </w:r>
    </w:p>
    <w:p>
      <w:pPr>
        <w:pStyle w:val="Heading1"/>
      </w:pPr>
      <w:r>
        <w:rPr>
          <w:rFonts w:ascii="Aptos" w:hAnsi="Aptos"/>
        </w:rPr>
        <w:t>16. Complaints involving staff, contractors, employers or visitors</w:t>
      </w:r>
    </w:p>
    <w:p>
      <w:pPr>
        <w:pStyle w:val="Heading2"/>
      </w:pPr>
      <w:r>
        <w:rPr>
          <w:rFonts w:ascii="Aptos" w:hAnsi="Aptos"/>
        </w:rPr>
        <w:t>16.1 Staff or contractor complained about by a learner</w:t>
      </w:r>
    </w:p>
    <w:p>
      <w:r>
        <w:rPr>
          <w:rFonts w:ascii="Aptos" w:hAnsi="Aptos"/>
        </w:rPr>
        <w:t>Where the conduct may indicate that an adult working with children has harmed a child, may have harmed a child, committed an offence against a child, or behaved in a way indicating they may pose a risk, the matter will be considered under the safeguarding allegations process and LADO arrangements where applicable. Lower-level concerns about adults will be managed and recorded under the relevant staff conduct/low-level-concern arrangements.</w:t>
      </w:r>
    </w:p>
    <w:p>
      <w:pPr>
        <w:pStyle w:val="Heading2"/>
      </w:pPr>
      <w:r>
        <w:rPr>
          <w:rFonts w:ascii="Aptos" w:hAnsi="Aptos"/>
        </w:rPr>
        <w:t>16.2 Employer or workplace representative</w:t>
      </w:r>
    </w:p>
    <w:p>
      <w:r>
        <w:rPr>
          <w:rFonts w:ascii="Aptos" w:hAnsi="Aptos"/>
        </w:rPr>
        <w:t>Where the complaint concerns an apprentice’s manager, colleague, mentor, customer or other workplace person, Qualia Academy will consider both the employer’s responsibilities and the Academy’s safeguarding responsibilities. The Academy may liaise with employer HR/safeguarding staff, but will not simply transfer responsibility where the apprentice remains at risk.</w:t>
      </w:r>
    </w:p>
    <w:p>
      <w:pPr>
        <w:pStyle w:val="Heading2"/>
      </w:pPr>
      <w:r>
        <w:rPr>
          <w:rFonts w:ascii="Aptos" w:hAnsi="Aptos"/>
        </w:rPr>
        <w:t>16.3 Complaint against senior leaders or governance</w:t>
      </w:r>
    </w:p>
    <w:p>
      <w:r>
        <w:rPr>
          <w:rFonts w:ascii="Aptos" w:hAnsi="Aptos"/>
        </w:rPr>
        <w:t>Where the complaint concerns the Head of Academy, DSL or another senior leader, an alternative senior person, independent adviser or governance representative will be identified so that the complaint can be considered without conflict of interest. Safeguarding referrals remain available regardless of seniority.</w:t>
      </w:r>
    </w:p>
    <w:p>
      <w:pPr>
        <w:pStyle w:val="Heading1"/>
      </w:pPr>
      <w:r>
        <w:rPr>
          <w:rFonts w:ascii="Aptos" w:hAnsi="Aptos"/>
        </w:rPr>
        <w:t>17. Support, protective measures and restorative practice</w:t>
      </w:r>
    </w:p>
    <w:p>
      <w:r>
        <w:rPr>
          <w:rFonts w:ascii="Aptos" w:hAnsi="Aptos"/>
        </w:rPr>
        <w:t>Qualia Academy will consider support for the person affected, the person accused and any witnesses or wider group affected. Support will be proportionate to the circumstances and may include:</w:t>
      </w:r>
    </w:p>
    <w:p>
      <w:pPr>
        <w:pStyle w:val="PolicyBullet"/>
        <w:ind w:left="312" w:hanging="142"/>
      </w:pPr>
      <w:r>
        <w:rPr>
          <w:rFonts w:ascii="Aptos" w:hAnsi="Aptos"/>
        </w:rPr>
        <w:t>a named staff contact and regular check-ins;</w:t>
      </w:r>
    </w:p>
    <w:p>
      <w:pPr>
        <w:pStyle w:val="PolicyBullet"/>
        <w:ind w:left="312" w:hanging="142"/>
      </w:pPr>
      <w:r>
        <w:rPr>
          <w:rFonts w:ascii="Aptos" w:hAnsi="Aptos"/>
        </w:rPr>
        <w:t>adjustments to training groups, workplace contact, timetables, online access or communication routes;</w:t>
      </w:r>
    </w:p>
    <w:p>
      <w:pPr>
        <w:pStyle w:val="PolicyBullet"/>
        <w:ind w:left="312" w:hanging="142"/>
      </w:pPr>
      <w:r>
        <w:rPr>
          <w:rFonts w:ascii="Aptos" w:hAnsi="Aptos"/>
        </w:rPr>
        <w:t>reasonable adjustments for disability, neurodivergence or communication needs;</w:t>
      </w:r>
    </w:p>
    <w:p>
      <w:pPr>
        <w:pStyle w:val="PolicyBullet"/>
        <w:ind w:left="312" w:hanging="142"/>
      </w:pPr>
      <w:r>
        <w:rPr>
          <w:rFonts w:ascii="Aptos" w:hAnsi="Aptos"/>
        </w:rPr>
        <w:t>signposting to appropriate counselling, mental-health, advocacy, domestic-abuse, sexual-violence or other specialist services;</w:t>
      </w:r>
    </w:p>
    <w:p>
      <w:pPr>
        <w:pStyle w:val="PolicyBullet"/>
        <w:ind w:left="312" w:hanging="142"/>
      </w:pPr>
      <w:r>
        <w:rPr>
          <w:rFonts w:ascii="Aptos" w:hAnsi="Aptos"/>
        </w:rPr>
        <w:t>workplace liaison and temporary safety arrangements;</w:t>
      </w:r>
    </w:p>
    <w:p>
      <w:pPr>
        <w:pStyle w:val="PolicyBullet"/>
        <w:ind w:left="312" w:hanging="142"/>
      </w:pPr>
      <w:r>
        <w:rPr>
          <w:rFonts w:ascii="Aptos" w:hAnsi="Aptos"/>
        </w:rPr>
        <w:t>academic or attendance support where the concern has affected learning;</w:t>
      </w:r>
    </w:p>
    <w:p>
      <w:pPr>
        <w:pStyle w:val="PolicyBullet"/>
        <w:ind w:left="312" w:hanging="142"/>
      </w:pPr>
      <w:r>
        <w:rPr>
          <w:rFonts w:ascii="Aptos" w:hAnsi="Aptos"/>
        </w:rPr>
        <w:t>behavioural or educational interventions for the person responsible where appropriate.</w:t>
      </w:r>
    </w:p>
    <w:p>
      <w:pPr>
        <w:pStyle w:val="Heading2"/>
      </w:pPr>
      <w:r>
        <w:rPr>
          <w:rFonts w:ascii="Aptos" w:hAnsi="Aptos"/>
        </w:rPr>
        <w:t>17.1 Restorative practice</w:t>
      </w:r>
    </w:p>
    <w:p>
      <w:r>
        <w:rPr>
          <w:rFonts w:ascii="Aptos" w:hAnsi="Aptos"/>
        </w:rPr>
        <w:t>Qualia Academy retains its commitment to restorative and relationship-based approaches where these are safe, voluntary and appropriate. Restorative work may help some learners understand impact, rebuild accountability and improve relationships. However:</w:t>
      </w:r>
    </w:p>
    <w:p>
      <w:pPr>
        <w:pStyle w:val="PolicyBullet"/>
        <w:ind w:left="312" w:hanging="142"/>
      </w:pPr>
      <w:r>
        <w:rPr>
          <w:rFonts w:ascii="Aptos" w:hAnsi="Aptos"/>
        </w:rPr>
        <w:t>it will only be considered after a safeguarding and power-imbalance assessment;</w:t>
      </w:r>
    </w:p>
    <w:p>
      <w:pPr>
        <w:pStyle w:val="PolicyBullet"/>
        <w:ind w:left="312" w:hanging="142"/>
      </w:pPr>
      <w:r>
        <w:rPr>
          <w:rFonts w:ascii="Aptos" w:hAnsi="Aptos"/>
        </w:rPr>
        <w:t>participation must be voluntary and informed for all parties;</w:t>
      </w:r>
    </w:p>
    <w:p>
      <w:pPr>
        <w:pStyle w:val="PolicyBullet"/>
        <w:ind w:left="312" w:hanging="142"/>
      </w:pPr>
      <w:r>
        <w:rPr>
          <w:rFonts w:ascii="Aptos" w:hAnsi="Aptos"/>
        </w:rPr>
        <w:t>it will not replace disciplinary action, safeguarding referral, police involvement or specialist support where these are required;</w:t>
      </w:r>
    </w:p>
    <w:p>
      <w:pPr>
        <w:pStyle w:val="PolicyBullet"/>
        <w:ind w:left="312" w:hanging="142"/>
      </w:pPr>
      <w:r>
        <w:rPr>
          <w:rFonts w:ascii="Aptos" w:hAnsi="Aptos"/>
        </w:rPr>
        <w:t>it will not be used to pressure a victim to forgive, reconcile or have direct contact with the person who harmed them;</w:t>
      </w:r>
    </w:p>
    <w:p>
      <w:pPr>
        <w:pStyle w:val="PolicyBullet"/>
        <w:ind w:left="312" w:hanging="142"/>
      </w:pPr>
      <w:r>
        <w:rPr>
          <w:rFonts w:ascii="Aptos" w:hAnsi="Aptos"/>
        </w:rPr>
        <w:t>it will not be used where there is ongoing coercive control, sexual violence, serious sexual harassment, stalking or another context in which direct contact would be unsafe;</w:t>
      </w:r>
    </w:p>
    <w:p>
      <w:pPr>
        <w:pStyle w:val="PolicyBullet"/>
        <w:ind w:left="312" w:hanging="142"/>
      </w:pPr>
      <w:r>
        <w:rPr>
          <w:rFonts w:ascii="Aptos" w:hAnsi="Aptos"/>
        </w:rPr>
        <w:t>follow-up and monitoring may take place through planned one-to-one or progress-review meetings.</w:t>
      </w:r>
    </w:p>
    <w:p>
      <w:pPr>
        <w:pStyle w:val="PolicyNote"/>
      </w:pPr>
      <w:r>
        <w:rPr>
          <w:rFonts w:ascii="Aptos" w:hAnsi="Aptos"/>
        </w:rPr>
        <w:t>The previous policy referred to self-guided dialectical behaviour therapy. The updated policy removes any expectation that Qualia Academy provides or prescribes clinical therapy. Where therapeutic support may be beneficial, the Academy will signpost or refer to appropriately qualified services rather than acting as a clinical provider.</w:t>
      </w:r>
    </w:p>
    <w:p>
      <w:pPr>
        <w:pStyle w:val="Heading1"/>
      </w:pPr>
      <w:r>
        <w:rPr>
          <w:rFonts w:ascii="Aptos" w:hAnsi="Aptos"/>
        </w:rPr>
        <w:t>18. Confidentiality, information sharing and record keeping</w:t>
      </w:r>
    </w:p>
    <w:p>
      <w:pPr>
        <w:pStyle w:val="PolicyBullet"/>
        <w:ind w:left="312" w:hanging="142"/>
      </w:pPr>
      <w:r>
        <w:rPr>
          <w:rFonts w:ascii="Aptos" w:hAnsi="Aptos"/>
        </w:rPr>
        <w:t>Records will distinguish fact, allegation, professional opinion and decision-making rationale.</w:t>
      </w:r>
    </w:p>
    <w:p>
      <w:pPr>
        <w:pStyle w:val="PolicyBullet"/>
        <w:ind w:left="312" w:hanging="142"/>
      </w:pPr>
      <w:r>
        <w:rPr>
          <w:rFonts w:ascii="Aptos" w:hAnsi="Aptos"/>
        </w:rPr>
        <w:t>Safeguarding information will be stored securely and separately where appropriate, with access limited to those who need it.</w:t>
      </w:r>
    </w:p>
    <w:p>
      <w:pPr>
        <w:pStyle w:val="PolicyBullet"/>
        <w:ind w:left="312" w:hanging="142"/>
      </w:pPr>
      <w:r>
        <w:rPr>
          <w:rFonts w:ascii="Aptos" w:hAnsi="Aptos"/>
        </w:rPr>
        <w:t>Information will be shared in accordance with UK data-protection law, safeguarding law and current information-sharing guidance.</w:t>
      </w:r>
    </w:p>
    <w:p>
      <w:pPr>
        <w:pStyle w:val="PolicyBullet"/>
        <w:ind w:left="312" w:hanging="142"/>
      </w:pPr>
      <w:r>
        <w:rPr>
          <w:rFonts w:ascii="Aptos" w:hAnsi="Aptos"/>
        </w:rPr>
        <w:t>Consent will be sought where appropriate, but lack of consent will not prevent proportionate sharing where necessary to protect a child or adult at risk or to comply with law.</w:t>
      </w:r>
    </w:p>
    <w:p>
      <w:pPr>
        <w:pStyle w:val="PolicyBullet"/>
        <w:ind w:left="312" w:hanging="142"/>
      </w:pPr>
      <w:r>
        <w:rPr>
          <w:rFonts w:ascii="Aptos" w:hAnsi="Aptos"/>
        </w:rPr>
        <w:t>Staff should never promise absolute confidentiality to a learner disclosing abuse or safeguarding concerns.</w:t>
      </w:r>
    </w:p>
    <w:p>
      <w:pPr>
        <w:pStyle w:val="PolicyBullet"/>
        <w:ind w:left="312" w:hanging="142"/>
      </w:pPr>
      <w:r>
        <w:rPr>
          <w:rFonts w:ascii="Aptos" w:hAnsi="Aptos"/>
        </w:rPr>
        <w:t>Where online or sexual material is evidence, staff will avoid unnecessary copying, forwarding or storage and will follow safeguarding advice for handling intimate images.</w:t>
      </w:r>
    </w:p>
    <w:p>
      <w:pPr>
        <w:pStyle w:val="PolicyBullet"/>
        <w:ind w:left="312" w:hanging="142"/>
      </w:pPr>
      <w:r>
        <w:rPr>
          <w:rFonts w:ascii="Aptos" w:hAnsi="Aptos"/>
        </w:rPr>
        <w:t>Complaints and safeguarding trends may be reported to governance in anonymised form to support quality improvement.</w:t>
      </w:r>
    </w:p>
    <w:p>
      <w:pPr>
        <w:pStyle w:val="Heading1"/>
      </w:pPr>
      <w:r>
        <w:rPr>
          <w:rFonts w:ascii="Aptos" w:hAnsi="Aptos"/>
        </w:rPr>
        <w:t>19. Outcomes, sanctions and appeals</w:t>
      </w:r>
    </w:p>
    <w:p>
      <w:r>
        <w:rPr>
          <w:rFonts w:ascii="Aptos" w:hAnsi="Aptos"/>
        </w:rPr>
        <w:t>Possible outcomes depend on the facts, safeguarding context, severity, intent, repetition, impact and relevant learner/staff/employer procedures. They may include:</w:t>
      </w:r>
    </w:p>
    <w:p>
      <w:pPr>
        <w:pStyle w:val="PolicyBullet"/>
        <w:ind w:left="312" w:hanging="142"/>
      </w:pPr>
      <w:r>
        <w:rPr>
          <w:rFonts w:ascii="Aptos" w:hAnsi="Aptos"/>
        </w:rPr>
        <w:t>no further action where the complaint is not substantiated;</w:t>
      </w:r>
    </w:p>
    <w:p>
      <w:pPr>
        <w:pStyle w:val="PolicyBullet"/>
        <w:ind w:left="312" w:hanging="142"/>
      </w:pPr>
      <w:r>
        <w:rPr>
          <w:rFonts w:ascii="Aptos" w:hAnsi="Aptos"/>
        </w:rPr>
        <w:t>informal guidance, boundaries, apology or restorative work where safe and appropriate;</w:t>
      </w:r>
    </w:p>
    <w:p>
      <w:pPr>
        <w:pStyle w:val="PolicyBullet"/>
        <w:ind w:left="312" w:hanging="142"/>
      </w:pPr>
      <w:r>
        <w:rPr>
          <w:rFonts w:ascii="Aptos" w:hAnsi="Aptos"/>
        </w:rPr>
        <w:t>behaviour agreement, action plan, training or coaching;</w:t>
      </w:r>
    </w:p>
    <w:p>
      <w:pPr>
        <w:pStyle w:val="PolicyBullet"/>
        <w:ind w:left="312" w:hanging="142"/>
      </w:pPr>
      <w:r>
        <w:rPr>
          <w:rFonts w:ascii="Aptos" w:hAnsi="Aptos"/>
        </w:rPr>
        <w:t>formal warning under learner or staff procedures;</w:t>
      </w:r>
    </w:p>
    <w:p>
      <w:pPr>
        <w:pStyle w:val="PolicyBullet"/>
        <w:ind w:left="312" w:hanging="142"/>
      </w:pPr>
      <w:r>
        <w:rPr>
          <w:rFonts w:ascii="Aptos" w:hAnsi="Aptos"/>
        </w:rPr>
        <w:t>changes to training or workplace arrangements;</w:t>
      </w:r>
    </w:p>
    <w:p>
      <w:pPr>
        <w:pStyle w:val="PolicyBullet"/>
        <w:ind w:left="312" w:hanging="142"/>
      </w:pPr>
      <w:r>
        <w:rPr>
          <w:rFonts w:ascii="Aptos" w:hAnsi="Aptos"/>
        </w:rPr>
        <w:t>removal from a session, platform, event or programme where proportionate;</w:t>
      </w:r>
    </w:p>
    <w:p>
      <w:pPr>
        <w:pStyle w:val="PolicyBullet"/>
        <w:ind w:left="312" w:hanging="142"/>
      </w:pPr>
      <w:r>
        <w:rPr>
          <w:rFonts w:ascii="Aptos" w:hAnsi="Aptos"/>
        </w:rPr>
        <w:t>employer disciplinary or HR action where the matter occurs in the workplace;</w:t>
      </w:r>
    </w:p>
    <w:p>
      <w:pPr>
        <w:pStyle w:val="PolicyBullet"/>
        <w:ind w:left="312" w:hanging="142"/>
      </w:pPr>
      <w:r>
        <w:rPr>
          <w:rFonts w:ascii="Aptos" w:hAnsi="Aptos"/>
        </w:rPr>
        <w:t>referral to an Awarding Organisation, regulator, funding body or professional body where required;</w:t>
      </w:r>
    </w:p>
    <w:p>
      <w:pPr>
        <w:pStyle w:val="PolicyBullet"/>
        <w:ind w:left="312" w:hanging="142"/>
      </w:pPr>
      <w:r>
        <w:rPr>
          <w:rFonts w:ascii="Aptos" w:hAnsi="Aptos"/>
        </w:rPr>
        <w:t>referral to children’s social care, adult safeguarding, LADO, police or DBS where statutory thresholds are met;</w:t>
      </w:r>
    </w:p>
    <w:p>
      <w:pPr>
        <w:pStyle w:val="PolicyBullet"/>
        <w:ind w:left="312" w:hanging="142"/>
      </w:pPr>
      <w:r>
        <w:rPr>
          <w:rFonts w:ascii="Aptos" w:hAnsi="Aptos"/>
        </w:rPr>
        <w:t>contractual action in relation to a subcontractor, contractor or partner.</w:t>
      </w:r>
    </w:p>
    <w:p>
      <w:r>
        <w:rPr>
          <w:rFonts w:ascii="Aptos" w:hAnsi="Aptos"/>
        </w:rPr>
        <w:t>Either party may appeal an internal formal outcome on the grounds and within the timescale set by the Academy’s Appeals Procedure. Unless another procedure applies, an appeal should normally be lodged within 5 working days of notification of the outcome. The appeal will focus on the grounds permitted by the Appeals Procedure and will be considered by someone appropriately independent of the original decision.</w:t>
      </w:r>
    </w:p>
    <w:p>
      <w:pPr>
        <w:pStyle w:val="Heading1"/>
      </w:pPr>
      <w:r>
        <w:rPr>
          <w:rFonts w:ascii="Aptos" w:hAnsi="Aptos"/>
        </w:rPr>
        <w:t>20. Monitoring, quality assurance and governance</w:t>
      </w:r>
    </w:p>
    <w:p>
      <w:r>
        <w:rPr>
          <w:rFonts w:ascii="Aptos" w:hAnsi="Aptos"/>
        </w:rPr>
        <w:t>The policy will be monitored as part of Qualia Academy’s quality, safeguarding and governance arrangements.</w:t>
      </w:r>
    </w:p>
    <w:p>
      <w:pPr>
        <w:pStyle w:val="PolicyBullet"/>
        <w:ind w:left="312" w:hanging="142"/>
      </w:pPr>
      <w:r>
        <w:rPr>
          <w:rFonts w:ascii="Aptos" w:hAnsi="Aptos"/>
        </w:rPr>
        <w:t>The DSL will monitor safeguarding-related bullying and harassment concerns and escalate significant themes through appropriate quality/governance meetings.</w:t>
      </w:r>
    </w:p>
    <w:p>
      <w:pPr>
        <w:pStyle w:val="PolicyBullet"/>
        <w:ind w:left="312" w:hanging="142"/>
      </w:pPr>
      <w:r>
        <w:rPr>
          <w:rFonts w:ascii="Aptos" w:hAnsi="Aptos"/>
        </w:rPr>
        <w:t>Quality monitoring will consider learner and apprentice feedback, employer feedback, complaints, safeguarding referrals, withdrawals, attendance, online incidents and workplace concerns.</w:t>
      </w:r>
    </w:p>
    <w:p>
      <w:pPr>
        <w:pStyle w:val="PolicyBullet"/>
        <w:ind w:left="312" w:hanging="142"/>
      </w:pPr>
      <w:r>
        <w:rPr>
          <w:rFonts w:ascii="Aptos" w:hAnsi="Aptos"/>
        </w:rPr>
        <w:t>Data will be reviewed for patterns and disproportionality, including prejudice-based and discriminatory bullying.</w:t>
      </w:r>
    </w:p>
    <w:p>
      <w:pPr>
        <w:pStyle w:val="PolicyBullet"/>
        <w:ind w:left="312" w:hanging="142"/>
      </w:pPr>
      <w:r>
        <w:rPr>
          <w:rFonts w:ascii="Aptos" w:hAnsi="Aptos"/>
        </w:rPr>
        <w:t>Leaders will test whether learners and apprentices know who to turn to, feel safe and believe concerns will be taken seriously.</w:t>
      </w:r>
    </w:p>
    <w:p>
      <w:pPr>
        <w:pStyle w:val="PolicyBullet"/>
        <w:ind w:left="312" w:hanging="142"/>
      </w:pPr>
      <w:r>
        <w:rPr>
          <w:rFonts w:ascii="Aptos" w:hAnsi="Aptos"/>
        </w:rPr>
        <w:t>Safeguarding arrangements will be kept under active review in line with Ofsted’s FE and skills inspection expectations, including the effectiveness of referral systems, multi-agency work, staff training and learner voice.</w:t>
      </w:r>
    </w:p>
    <w:p>
      <w:pPr>
        <w:pStyle w:val="PolicyBullet"/>
        <w:ind w:left="312" w:hanging="142"/>
      </w:pPr>
      <w:r>
        <w:rPr>
          <w:rFonts w:ascii="Aptos" w:hAnsi="Aptos"/>
        </w:rPr>
        <w:t>Where a safeguarding judgement is not met or another serious quality concern is identified, Qualia Academy recognises that this may trigger government contractual oversight or intervention for a publicly funded provider.</w:t>
      </w:r>
    </w:p>
    <w:p>
      <w:pPr>
        <w:pStyle w:val="PolicyBullet"/>
        <w:ind w:left="312" w:hanging="142"/>
      </w:pPr>
      <w:r>
        <w:rPr>
          <w:rFonts w:ascii="Aptos" w:hAnsi="Aptos"/>
        </w:rPr>
        <w:t>This policy will be formally reviewed at least annually and earlier where there is a material statutory, regulatory, funding, inspection or safeguarding change.</w:t>
      </w:r>
    </w:p>
    <w:p>
      <w:pPr>
        <w:pStyle w:val="Heading1"/>
      </w:pPr>
      <w:r>
        <w:rPr>
          <w:rFonts w:ascii="Aptos" w:hAnsi="Aptos"/>
        </w:rPr>
        <w:t>21. Related policies, legislation and external requirements</w:t>
      </w:r>
    </w:p>
    <w:p>
      <w:r>
        <w:rPr>
          <w:rFonts w:ascii="Aptos" w:hAnsi="Aptos"/>
        </w:rPr>
        <w:t>This policy should be read alongside the current versions of the following Qualia Academy documents, as applicable:</w:t>
      </w:r>
    </w:p>
    <w:p>
      <w:pPr>
        <w:pStyle w:val="PolicyBullet"/>
        <w:ind w:left="312" w:hanging="142"/>
      </w:pPr>
      <w:r>
        <w:rPr>
          <w:rFonts w:ascii="Aptos" w:hAnsi="Aptos"/>
        </w:rPr>
        <w:t>Safeguarding and Child Protection Policy;</w:t>
      </w:r>
    </w:p>
    <w:p>
      <w:pPr>
        <w:pStyle w:val="PolicyBullet"/>
        <w:ind w:left="312" w:hanging="142"/>
      </w:pPr>
      <w:r>
        <w:rPr>
          <w:rFonts w:ascii="Aptos" w:hAnsi="Aptos"/>
        </w:rPr>
        <w:t>Adult Safeguarding Policy / procedures;</w:t>
      </w:r>
    </w:p>
    <w:p>
      <w:pPr>
        <w:pStyle w:val="PolicyBullet"/>
        <w:ind w:left="312" w:hanging="142"/>
      </w:pPr>
      <w:r>
        <w:rPr>
          <w:rFonts w:ascii="Aptos" w:hAnsi="Aptos"/>
        </w:rPr>
        <w:t>Online Safety / E-safety Policy;</w:t>
      </w:r>
    </w:p>
    <w:p>
      <w:pPr>
        <w:pStyle w:val="PolicyBullet"/>
        <w:ind w:left="312" w:hanging="142"/>
      </w:pPr>
      <w:r>
        <w:rPr>
          <w:rFonts w:ascii="Aptos" w:hAnsi="Aptos"/>
        </w:rPr>
        <w:t>Learner Code of Conduct and Learner Disciplinary Procedure;</w:t>
      </w:r>
    </w:p>
    <w:p>
      <w:pPr>
        <w:pStyle w:val="PolicyBullet"/>
        <w:ind w:left="312" w:hanging="142"/>
      </w:pPr>
      <w:r>
        <w:rPr>
          <w:rFonts w:ascii="Aptos" w:hAnsi="Aptos"/>
        </w:rPr>
        <w:t>Staff Code of Conduct, Grievance and Disciplinary Procedures;</w:t>
      </w:r>
    </w:p>
    <w:p>
      <w:pPr>
        <w:pStyle w:val="PolicyBullet"/>
        <w:ind w:left="312" w:hanging="142"/>
      </w:pPr>
      <w:r>
        <w:rPr>
          <w:rFonts w:ascii="Aptos" w:hAnsi="Aptos"/>
        </w:rPr>
        <w:t>Equality, Diversity and Inclusion Policy;</w:t>
      </w:r>
    </w:p>
    <w:p>
      <w:pPr>
        <w:pStyle w:val="PolicyBullet"/>
        <w:ind w:left="312" w:hanging="142"/>
      </w:pPr>
      <w:r>
        <w:rPr>
          <w:rFonts w:ascii="Aptos" w:hAnsi="Aptos"/>
        </w:rPr>
        <w:t>Complaints Policy and Appeals Procedure;</w:t>
      </w:r>
    </w:p>
    <w:p>
      <w:pPr>
        <w:pStyle w:val="PolicyBullet"/>
        <w:ind w:left="312" w:hanging="142"/>
      </w:pPr>
      <w:r>
        <w:rPr>
          <w:rFonts w:ascii="Aptos" w:hAnsi="Aptos"/>
        </w:rPr>
        <w:t>Whistleblowing Policy;</w:t>
      </w:r>
    </w:p>
    <w:p>
      <w:pPr>
        <w:pStyle w:val="PolicyBullet"/>
        <w:ind w:left="312" w:hanging="142"/>
      </w:pPr>
      <w:r>
        <w:rPr>
          <w:rFonts w:ascii="Aptos" w:hAnsi="Aptos"/>
        </w:rPr>
        <w:t>Health and Safety Policy;</w:t>
      </w:r>
    </w:p>
    <w:p>
      <w:pPr>
        <w:pStyle w:val="PolicyBullet"/>
        <w:ind w:left="312" w:hanging="142"/>
      </w:pPr>
      <w:r>
        <w:rPr>
          <w:rFonts w:ascii="Aptos" w:hAnsi="Aptos"/>
        </w:rPr>
        <w:t>Data Protection and Confidentiality Policies;</w:t>
      </w:r>
    </w:p>
    <w:p>
      <w:pPr>
        <w:pStyle w:val="PolicyBullet"/>
        <w:ind w:left="312" w:hanging="142"/>
      </w:pPr>
      <w:r>
        <w:rPr>
          <w:rFonts w:ascii="Aptos" w:hAnsi="Aptos"/>
        </w:rPr>
        <w:t>Subcontracting and employer-engagement arrangements where applicable.</w:t>
      </w:r>
    </w:p>
    <w:p>
      <w:r>
        <w:rPr>
          <w:rFonts w:ascii="Aptos" w:hAnsi="Aptos"/>
        </w:rPr>
        <w:t>External requirements and guidance relevant to this policy include:</w:t>
      </w:r>
    </w:p>
    <w:tbl>
      <w:tblPr>
        <w:tblW w:type="auto" w:w="0"/>
        <w:jc w:val="center"/>
        <w:tblLook w:firstColumn="1" w:firstRow="1" w:lastColumn="0" w:lastRow="0" w:noHBand="0" w:noVBand="1" w:val="04A0"/>
      </w:tblPr>
      <w:tblGrid>
        <w:gridCol w:w="4933"/>
        <w:gridCol w:w="4933"/>
      </w:tblGrid>
      <w:tr>
        <w:trPr>
          <w:tblHeader w:val="true"/>
        </w:trPr>
        <w:tc>
          <w:tcPr>
            <w:tcW w:type="dxa" w:w="4933"/>
            <w:shd w:fill="4B3E61"/>
            <w:tcMar>
              <w:top w:w="90" w:type="dxa"/>
              <w:start w:w="100" w:type="dxa"/>
              <w:bottom w:w="90" w:type="dxa"/>
              <w:end w:w="100" w:type="dxa"/>
            </w:tcMar>
            <w:vAlign w:val="top"/>
          </w:tcPr>
          <w:p>
            <w:pPr>
              <w:spacing w:after="50"/>
            </w:pPr>
            <w:r>
              <w:rPr>
                <w:rFonts w:ascii="Aptos" w:hAnsi="Aptos"/>
                <w:b/>
                <w:color w:val="FFFFFF"/>
                <w:sz w:val="18"/>
              </w:rPr>
              <w:t>Requirement</w:t>
            </w:r>
          </w:p>
        </w:tc>
        <w:tc>
          <w:tcPr>
            <w:tcW w:type="dxa" w:w="4933"/>
            <w:shd w:fill="4B3E61"/>
            <w:tcMar>
              <w:top w:w="90" w:type="dxa"/>
              <w:start w:w="100" w:type="dxa"/>
              <w:bottom w:w="90" w:type="dxa"/>
              <w:end w:w="100" w:type="dxa"/>
            </w:tcMar>
            <w:vAlign w:val="top"/>
          </w:tcPr>
          <w:p>
            <w:pPr>
              <w:spacing w:after="50"/>
            </w:pPr>
            <w:r>
              <w:rPr>
                <w:rFonts w:ascii="Aptos" w:hAnsi="Aptos"/>
                <w:b/>
                <w:color w:val="FFFFFF"/>
                <w:sz w:val="18"/>
              </w:rPr>
              <w:t>Relevance</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Working Together to Safeguard Children 2026</w:t>
            </w:r>
          </w:p>
        </w:tc>
        <w:tc>
          <w:tcPr>
            <w:tcW w:type="dxa" w:w="4933"/>
            <w:tcMar>
              <w:top w:w="90" w:type="dxa"/>
              <w:start w:w="100" w:type="dxa"/>
              <w:bottom w:w="90" w:type="dxa"/>
              <w:end w:w="100" w:type="dxa"/>
            </w:tcMar>
            <w:vAlign w:val="top"/>
          </w:tcPr>
          <w:p>
            <w:pPr>
              <w:spacing w:after="50"/>
            </w:pPr>
            <w:r>
              <w:rPr>
                <w:rFonts w:ascii="Aptos" w:hAnsi="Aptos"/>
                <w:sz w:val="17"/>
              </w:rPr>
              <w:t>Statutory multi-agency safeguarding guidance for England; applies to education providers and childcare settings.</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Keeping Children Safe in Education 2025 / 2026</w:t>
            </w:r>
          </w:p>
        </w:tc>
        <w:tc>
          <w:tcPr>
            <w:tcW w:type="dxa" w:w="4933"/>
            <w:tcMar>
              <w:top w:w="90" w:type="dxa"/>
              <w:start w:w="100" w:type="dxa"/>
              <w:bottom w:w="90" w:type="dxa"/>
              <w:end w:w="100" w:type="dxa"/>
            </w:tcMar>
            <w:vAlign w:val="top"/>
          </w:tcPr>
          <w:p>
            <w:pPr>
              <w:spacing w:after="50"/>
            </w:pPr>
            <w:r>
              <w:rPr>
                <w:rFonts w:ascii="Aptos" w:hAnsi="Aptos"/>
                <w:sz w:val="17"/>
              </w:rPr>
              <w:t>KCSIE 2025 remains in force until 31 August 2026; KCSIE 2026 applies from 1 September 2026. Ofsted uses KCSIE and Working Together as key safeguarding expectations for FE and skills providers.</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Ofsted FE and skills inspection toolkit and operating guidance</w:t>
            </w:r>
          </w:p>
        </w:tc>
        <w:tc>
          <w:tcPr>
            <w:tcW w:type="dxa" w:w="4933"/>
            <w:tcMar>
              <w:top w:w="90" w:type="dxa"/>
              <w:start w:w="100" w:type="dxa"/>
              <w:bottom w:w="90" w:type="dxa"/>
              <w:end w:w="100" w:type="dxa"/>
            </w:tcMar>
            <w:vAlign w:val="top"/>
          </w:tcPr>
          <w:p>
            <w:pPr>
              <w:spacing w:after="50"/>
            </w:pPr>
            <w:r>
              <w:rPr>
                <w:rFonts w:ascii="Aptos" w:hAnsi="Aptos"/>
                <w:sz w:val="17"/>
              </w:rPr>
              <w:t>Current framework from November 2025 and revised materials for inspections from September 2026, including safeguarding, learner/apprentice voice, multi-agency work and open safeguarding culture.</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Apprenticeship funding rules 2026 to 2027 - Version 2</w:t>
            </w:r>
          </w:p>
        </w:tc>
        <w:tc>
          <w:tcPr>
            <w:tcW w:type="dxa" w:w="4933"/>
            <w:tcMar>
              <w:top w:w="90" w:type="dxa"/>
              <w:start w:w="100" w:type="dxa"/>
              <w:bottom w:w="90" w:type="dxa"/>
              <w:end w:w="100" w:type="dxa"/>
            </w:tcMar>
            <w:vAlign w:val="top"/>
          </w:tcPr>
          <w:p>
            <w:pPr>
              <w:spacing w:after="50"/>
            </w:pPr>
            <w:r>
              <w:rPr>
                <w:rFonts w:ascii="Aptos" w:hAnsi="Aptos"/>
                <w:sz w:val="17"/>
              </w:rPr>
              <w:t>Rules for apprenticeships starting on or after 1 August 2026 and provider obligations under public funding agreements.</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Provider guide to delivering high-quality apprenticeships</w:t>
            </w:r>
          </w:p>
        </w:tc>
        <w:tc>
          <w:tcPr>
            <w:tcW w:type="dxa" w:w="4933"/>
            <w:tcMar>
              <w:top w:w="90" w:type="dxa"/>
              <w:start w:w="100" w:type="dxa"/>
              <w:bottom w:w="90" w:type="dxa"/>
              <w:end w:w="100" w:type="dxa"/>
            </w:tcMar>
            <w:vAlign w:val="top"/>
          </w:tcPr>
          <w:p>
            <w:pPr>
              <w:spacing w:after="50"/>
            </w:pPr>
            <w:r>
              <w:rPr>
                <w:rFonts w:ascii="Aptos" w:hAnsi="Aptos"/>
                <w:sz w:val="17"/>
              </w:rPr>
              <w:t>Safeguarding, equality, employer partnership, pastoral support, progress reviews and apprentice wellbeing.</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Oversight of independent training providers: operational guidance</w:t>
            </w:r>
          </w:p>
        </w:tc>
        <w:tc>
          <w:tcPr>
            <w:tcW w:type="dxa" w:w="4933"/>
            <w:tcMar>
              <w:top w:w="90" w:type="dxa"/>
              <w:start w:w="100" w:type="dxa"/>
              <w:bottom w:w="90" w:type="dxa"/>
              <w:end w:w="100" w:type="dxa"/>
            </w:tcMar>
            <w:vAlign w:val="top"/>
          </w:tcPr>
          <w:p>
            <w:pPr>
              <w:spacing w:after="50"/>
            </w:pPr>
            <w:r>
              <w:rPr>
                <w:rFonts w:ascii="Aptos" w:hAnsi="Aptos"/>
                <w:sz w:val="17"/>
              </w:rPr>
              <w:t>Government oversight of ITPs, including effective safeguarding and possible contractual action where safeguarding is not met.</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Equality Act 2010</w:t>
            </w:r>
          </w:p>
        </w:tc>
        <w:tc>
          <w:tcPr>
            <w:tcW w:type="dxa" w:w="4933"/>
            <w:tcMar>
              <w:top w:w="90" w:type="dxa"/>
              <w:start w:w="100" w:type="dxa"/>
              <w:bottom w:w="90" w:type="dxa"/>
              <w:end w:w="100" w:type="dxa"/>
            </w:tcMar>
            <w:vAlign w:val="top"/>
          </w:tcPr>
          <w:p>
            <w:pPr>
              <w:spacing w:after="50"/>
            </w:pPr>
            <w:r>
              <w:rPr>
                <w:rFonts w:ascii="Aptos" w:hAnsi="Aptos"/>
                <w:sz w:val="17"/>
              </w:rPr>
              <w:t>Protection from discrimination, harassment and victimisation.</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Worker Protection (Amendment of Equality Act 2010) Act 2023</w:t>
            </w:r>
          </w:p>
        </w:tc>
        <w:tc>
          <w:tcPr>
            <w:tcW w:type="dxa" w:w="4933"/>
            <w:tcMar>
              <w:top w:w="90" w:type="dxa"/>
              <w:start w:w="100" w:type="dxa"/>
              <w:bottom w:w="90" w:type="dxa"/>
              <w:end w:w="100" w:type="dxa"/>
            </w:tcMar>
            <w:vAlign w:val="top"/>
          </w:tcPr>
          <w:p>
            <w:pPr>
              <w:spacing w:after="50"/>
            </w:pPr>
            <w:r>
              <w:rPr>
                <w:rFonts w:ascii="Aptos" w:hAnsi="Aptos"/>
                <w:sz w:val="17"/>
              </w:rPr>
              <w:t>Employer duty, from 26 October 2024, to take reasonable steps to prevent sexual harassment of employees.</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Employment Rights Act 2025</w:t>
            </w:r>
          </w:p>
        </w:tc>
        <w:tc>
          <w:tcPr>
            <w:tcW w:type="dxa" w:w="4933"/>
            <w:tcMar>
              <w:top w:w="90" w:type="dxa"/>
              <w:start w:w="100" w:type="dxa"/>
              <w:bottom w:w="90" w:type="dxa"/>
              <w:end w:w="100" w:type="dxa"/>
            </w:tcMar>
            <w:vAlign w:val="top"/>
          </w:tcPr>
          <w:p>
            <w:pPr>
              <w:spacing w:after="50"/>
            </w:pPr>
            <w:r>
              <w:rPr>
                <w:rFonts w:ascii="Aptos" w:hAnsi="Aptos"/>
                <w:sz w:val="17"/>
              </w:rPr>
              <w:t>From 30 October 2026, strengthens the employer duty to all reasonable steps and introduces obligations concerning third-party harassment.</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Care Act 2014 and Care and Support statutory guidance</w:t>
            </w:r>
          </w:p>
        </w:tc>
        <w:tc>
          <w:tcPr>
            <w:tcW w:type="dxa" w:w="4933"/>
            <w:tcMar>
              <w:top w:w="90" w:type="dxa"/>
              <w:start w:w="100" w:type="dxa"/>
              <w:bottom w:w="90" w:type="dxa"/>
              <w:end w:w="100" w:type="dxa"/>
            </w:tcMar>
            <w:vAlign w:val="top"/>
          </w:tcPr>
          <w:p>
            <w:pPr>
              <w:spacing w:after="50"/>
            </w:pPr>
            <w:r>
              <w:rPr>
                <w:rFonts w:ascii="Aptos" w:hAnsi="Aptos"/>
                <w:sz w:val="17"/>
              </w:rPr>
              <w:t>Adult safeguarding, including psychological, sexual and discriminatory abuse and cyberbullying.</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Children Act 1989 and Children Act 2004</w:t>
            </w:r>
          </w:p>
        </w:tc>
        <w:tc>
          <w:tcPr>
            <w:tcW w:type="dxa" w:w="4933"/>
            <w:tcMar>
              <w:top w:w="90" w:type="dxa"/>
              <w:start w:w="100" w:type="dxa"/>
              <w:bottom w:w="90" w:type="dxa"/>
              <w:end w:w="100" w:type="dxa"/>
            </w:tcMar>
            <w:vAlign w:val="top"/>
          </w:tcPr>
          <w:p>
            <w:pPr>
              <w:spacing w:after="50"/>
            </w:pPr>
            <w:r>
              <w:rPr>
                <w:rFonts w:ascii="Aptos" w:hAnsi="Aptos"/>
                <w:sz w:val="17"/>
              </w:rPr>
              <w:t>Core child protection and safeguarding duties.</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Protection from Harassment Act 1997</w:t>
            </w:r>
          </w:p>
        </w:tc>
        <w:tc>
          <w:tcPr>
            <w:tcW w:type="dxa" w:w="4933"/>
            <w:tcMar>
              <w:top w:w="90" w:type="dxa"/>
              <w:start w:w="100" w:type="dxa"/>
              <w:bottom w:w="90" w:type="dxa"/>
              <w:end w:w="100" w:type="dxa"/>
            </w:tcMar>
            <w:vAlign w:val="top"/>
          </w:tcPr>
          <w:p>
            <w:pPr>
              <w:spacing w:after="50"/>
            </w:pPr>
            <w:r>
              <w:rPr>
                <w:rFonts w:ascii="Aptos" w:hAnsi="Aptos"/>
                <w:sz w:val="17"/>
              </w:rPr>
              <w:t>Protection from harassment and stalking behaviours.</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Sexual Offences Act 2003 and Voyeurism (Offences) Act 2019</w:t>
            </w:r>
          </w:p>
        </w:tc>
        <w:tc>
          <w:tcPr>
            <w:tcW w:type="dxa" w:w="4933"/>
            <w:tcMar>
              <w:top w:w="90" w:type="dxa"/>
              <w:start w:w="100" w:type="dxa"/>
              <w:bottom w:w="90" w:type="dxa"/>
              <w:end w:w="100" w:type="dxa"/>
            </w:tcMar>
            <w:vAlign w:val="top"/>
          </w:tcPr>
          <w:p>
            <w:pPr>
              <w:spacing w:after="50"/>
            </w:pPr>
            <w:r>
              <w:rPr>
                <w:rFonts w:ascii="Aptos" w:hAnsi="Aptos"/>
                <w:sz w:val="17"/>
              </w:rPr>
              <w:t>Relevant sexual offences including upskirting.</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Domestic Abuse Act 2021</w:t>
            </w:r>
          </w:p>
        </w:tc>
        <w:tc>
          <w:tcPr>
            <w:tcW w:type="dxa" w:w="4933"/>
            <w:tcMar>
              <w:top w:w="90" w:type="dxa"/>
              <w:start w:w="100" w:type="dxa"/>
              <w:bottom w:w="90" w:type="dxa"/>
              <w:end w:w="100" w:type="dxa"/>
            </w:tcMar>
            <w:vAlign w:val="top"/>
          </w:tcPr>
          <w:p>
            <w:pPr>
              <w:spacing w:after="50"/>
            </w:pPr>
            <w:r>
              <w:rPr>
                <w:rFonts w:ascii="Aptos" w:hAnsi="Aptos"/>
                <w:sz w:val="17"/>
              </w:rPr>
              <w:t>Domestic abuse and coercive/controlling behaviour, relevant to apprentices and learners aged 16+.</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Online Safety Act 2023 and Communications Act 2003</w:t>
            </w:r>
          </w:p>
        </w:tc>
        <w:tc>
          <w:tcPr>
            <w:tcW w:type="dxa" w:w="4933"/>
            <w:tcMar>
              <w:top w:w="90" w:type="dxa"/>
              <w:start w:w="100" w:type="dxa"/>
              <w:bottom w:w="90" w:type="dxa"/>
              <w:end w:w="100" w:type="dxa"/>
            </w:tcMar>
            <w:vAlign w:val="top"/>
          </w:tcPr>
          <w:p>
            <w:pPr>
              <w:spacing w:after="50"/>
            </w:pPr>
            <w:r>
              <w:rPr>
                <w:rFonts w:ascii="Aptos" w:hAnsi="Aptos"/>
                <w:sz w:val="17"/>
              </w:rPr>
              <w:t>Relevant online and communications offences and online harms.</w:t>
            </w:r>
          </w:p>
        </w:tc>
      </w:tr>
      <w:tr>
        <w:trPr>
          <w:cantSplit/>
        </w:trPr>
        <w:tc>
          <w:tcPr>
            <w:tcW w:type="dxa" w:w="4933"/>
            <w:tcMar>
              <w:top w:w="90" w:type="dxa"/>
              <w:start w:w="100" w:type="dxa"/>
              <w:bottom w:w="90" w:type="dxa"/>
              <w:end w:w="100" w:type="dxa"/>
            </w:tcMar>
            <w:vAlign w:val="top"/>
          </w:tcPr>
          <w:p>
            <w:pPr>
              <w:spacing w:after="50"/>
            </w:pPr>
            <w:r>
              <w:rPr>
                <w:rFonts w:ascii="Aptos" w:hAnsi="Aptos"/>
                <w:b/>
                <w:color w:val="362D4E"/>
                <w:sz w:val="17"/>
              </w:rPr>
              <w:t>Prevent duty guidance</w:t>
            </w:r>
          </w:p>
        </w:tc>
        <w:tc>
          <w:tcPr>
            <w:tcW w:type="dxa" w:w="4933"/>
            <w:tcMar>
              <w:top w:w="90" w:type="dxa"/>
              <w:start w:w="100" w:type="dxa"/>
              <w:bottom w:w="90" w:type="dxa"/>
              <w:end w:w="100" w:type="dxa"/>
            </w:tcMar>
            <w:vAlign w:val="top"/>
          </w:tcPr>
          <w:p>
            <w:pPr>
              <w:spacing w:after="50"/>
            </w:pPr>
            <w:r>
              <w:rPr>
                <w:rFonts w:ascii="Aptos" w:hAnsi="Aptos"/>
                <w:sz w:val="17"/>
              </w:rPr>
              <w:t>Relevant where bullying, hate, extremism or radicalisation concerns overlap with safeguarding.</w:t>
            </w:r>
          </w:p>
        </w:tc>
      </w:tr>
    </w:tbl>
    <w:p>
      <w:r>
        <w:rPr>
          <w:rFonts w:ascii="Aptos" w:hAnsi="Aptos"/>
        </w:rPr>
        <w:br w:type="page"/>
      </w:r>
    </w:p>
    <w:p>
      <w:pPr>
        <w:pStyle w:val="Heading1"/>
      </w:pPr>
      <w:r>
        <w:rPr>
          <w:rFonts w:ascii="Aptos" w:hAnsi="Aptos"/>
        </w:rPr>
        <w:t>Document Control</w:t>
      </w:r>
    </w:p>
    <w:tbl>
      <w:tblPr>
        <w:tblW w:type="auto" w:w="0"/>
        <w:jc w:val="center"/>
        <w:tblLook w:firstColumn="1" w:firstRow="1" w:lastColumn="0" w:lastRow="0" w:noHBand="0" w:noVBand="1" w:val="04A0"/>
      </w:tblPr>
      <w:tblGrid>
        <w:gridCol w:w="4933"/>
        <w:gridCol w:w="4933"/>
      </w:tblGrid>
      <w:tr>
        <w:tc>
          <w:tcPr>
            <w:tcW w:type="dxa" w:w="4933"/>
            <w:shd w:fill="4B3E61"/>
            <w:tcMar>
              <w:top w:w="90" w:type="dxa"/>
              <w:start w:w="100" w:type="dxa"/>
              <w:bottom w:w="90" w:type="dxa"/>
              <w:end w:w="100" w:type="dxa"/>
            </w:tcMar>
            <w:vAlign w:val="top"/>
          </w:tcPr>
          <w:p>
            <w:pPr>
              <w:spacing w:after="50"/>
            </w:pPr>
            <w:r>
              <w:rPr>
                <w:rFonts w:ascii="Aptos" w:hAnsi="Aptos"/>
                <w:b/>
                <w:color w:val="FFFFFF"/>
                <w:sz w:val="18"/>
              </w:rPr>
              <w:t>Control</w:t>
            </w:r>
          </w:p>
        </w:tc>
        <w:tc>
          <w:tcPr>
            <w:tcW w:type="dxa" w:w="4933"/>
            <w:shd w:fill="4B3E61"/>
            <w:tcMar>
              <w:top w:w="90" w:type="dxa"/>
              <w:start w:w="100" w:type="dxa"/>
              <w:bottom w:w="90" w:type="dxa"/>
              <w:end w:w="100" w:type="dxa"/>
            </w:tcMar>
            <w:vAlign w:val="top"/>
          </w:tcPr>
          <w:p>
            <w:pPr>
              <w:spacing w:after="50"/>
            </w:pPr>
            <w:r>
              <w:rPr>
                <w:rFonts w:ascii="Aptos" w:hAnsi="Aptos"/>
                <w:b/>
                <w:color w:val="FFFFFF"/>
                <w:sz w:val="18"/>
              </w:rPr>
              <w:t>Details</w:t>
            </w:r>
          </w:p>
        </w:tc>
      </w:tr>
      <w:tr>
        <w:trPr>
          <w:cantSplit/>
        </w:trPr>
        <w:tc>
          <w:tcPr>
            <w:tcW w:type="dxa" w:w="4933"/>
            <w:tcMar>
              <w:top w:w="90" w:type="dxa"/>
              <w:start w:w="100" w:type="dxa"/>
              <w:bottom w:w="90" w:type="dxa"/>
              <w:end w:w="100" w:type="dxa"/>
            </w:tcMar>
            <w:shd w:fill="F4F5F7"/>
            <w:vAlign w:val="top"/>
          </w:tcPr>
          <w:p>
            <w:pPr>
              <w:spacing w:after="50"/>
            </w:pPr>
            <w:r>
              <w:rPr>
                <w:rFonts w:ascii="Aptos" w:hAnsi="Aptos"/>
                <w:b/>
                <w:color w:val="362D4E"/>
                <w:sz w:val="18"/>
              </w:rPr>
              <w:t>Document title</w:t>
            </w:r>
          </w:p>
        </w:tc>
        <w:tc>
          <w:tcPr>
            <w:tcW w:type="dxa" w:w="4933"/>
            <w:tcMar>
              <w:top w:w="90" w:type="dxa"/>
              <w:start w:w="100" w:type="dxa"/>
              <w:bottom w:w="90" w:type="dxa"/>
              <w:end w:w="100" w:type="dxa"/>
            </w:tcMar>
            <w:vAlign w:val="top"/>
          </w:tcPr>
          <w:p>
            <w:pPr>
              <w:spacing w:after="50"/>
            </w:pPr>
            <w:r>
              <w:rPr>
                <w:rFonts w:ascii="Aptos" w:hAnsi="Aptos"/>
                <w:sz w:val="18"/>
              </w:rPr>
              <w:t>Qualia Academy Bullying and Harassment Policy</w:t>
            </w:r>
          </w:p>
        </w:tc>
      </w:tr>
      <w:tr>
        <w:trPr>
          <w:cantSplit/>
        </w:trPr>
        <w:tc>
          <w:tcPr>
            <w:tcW w:type="dxa" w:w="4933"/>
            <w:tcMar>
              <w:top w:w="90" w:type="dxa"/>
              <w:start w:w="100" w:type="dxa"/>
              <w:bottom w:w="90" w:type="dxa"/>
              <w:end w:w="100" w:type="dxa"/>
            </w:tcMar>
            <w:shd w:fill="F4F5F7"/>
            <w:vAlign w:val="top"/>
          </w:tcPr>
          <w:p>
            <w:pPr>
              <w:spacing w:after="50"/>
            </w:pPr>
            <w:r>
              <w:rPr>
                <w:rFonts w:ascii="Aptos" w:hAnsi="Aptos"/>
                <w:b/>
                <w:color w:val="362D4E"/>
                <w:sz w:val="18"/>
              </w:rPr>
              <w:t>Document owner</w:t>
            </w:r>
          </w:p>
        </w:tc>
        <w:tc>
          <w:tcPr>
            <w:tcW w:type="dxa" w:w="4933"/>
            <w:tcMar>
              <w:top w:w="90" w:type="dxa"/>
              <w:start w:w="100" w:type="dxa"/>
              <w:bottom w:w="90" w:type="dxa"/>
              <w:end w:w="100" w:type="dxa"/>
            </w:tcMar>
            <w:vAlign w:val="top"/>
          </w:tcPr>
          <w:p>
            <w:pPr>
              <w:spacing w:after="50"/>
            </w:pPr>
            <w:r>
              <w:rPr>
                <w:rFonts w:ascii="Aptos" w:hAnsi="Aptos"/>
                <w:sz w:val="18"/>
              </w:rPr>
              <w:t>Kirsty Watson</w:t>
            </w:r>
          </w:p>
        </w:tc>
      </w:tr>
      <w:tr>
        <w:trPr>
          <w:cantSplit/>
        </w:trPr>
        <w:tc>
          <w:tcPr>
            <w:tcW w:type="dxa" w:w="4933"/>
            <w:tcMar>
              <w:top w:w="90" w:type="dxa"/>
              <w:start w:w="100" w:type="dxa"/>
              <w:bottom w:w="90" w:type="dxa"/>
              <w:end w:w="100" w:type="dxa"/>
            </w:tcMar>
            <w:shd w:fill="F4F5F7"/>
            <w:vAlign w:val="top"/>
          </w:tcPr>
          <w:p>
            <w:pPr>
              <w:spacing w:after="50"/>
            </w:pPr>
            <w:r>
              <w:rPr>
                <w:rFonts w:ascii="Aptos" w:hAnsi="Aptos"/>
                <w:b/>
                <w:color w:val="362D4E"/>
                <w:sz w:val="18"/>
              </w:rPr>
              <w:t>Current version</w:t>
            </w:r>
          </w:p>
        </w:tc>
        <w:tc>
          <w:tcPr>
            <w:tcW w:type="dxa" w:w="4933"/>
            <w:tcMar>
              <w:top w:w="90" w:type="dxa"/>
              <w:start w:w="100" w:type="dxa"/>
              <w:bottom w:w="90" w:type="dxa"/>
              <w:end w:w="100" w:type="dxa"/>
            </w:tcMar>
            <w:vAlign w:val="top"/>
          </w:tcPr>
          <w:p>
            <w:pPr>
              <w:spacing w:after="50"/>
            </w:pPr>
            <w:r>
              <w:rPr>
                <w:rFonts w:ascii="Aptos" w:hAnsi="Aptos"/>
                <w:sz w:val="18"/>
              </w:rPr>
              <w:t>V5.1:BAHP2026</w:t>
            </w:r>
          </w:p>
        </w:tc>
      </w:tr>
      <w:tr>
        <w:trPr>
          <w:cantSplit/>
        </w:trPr>
        <w:tc>
          <w:tcPr>
            <w:tcW w:type="dxa" w:w="4933"/>
            <w:tcMar>
              <w:top w:w="90" w:type="dxa"/>
              <w:start w:w="100" w:type="dxa"/>
              <w:bottom w:w="90" w:type="dxa"/>
              <w:end w:w="100" w:type="dxa"/>
            </w:tcMar>
            <w:shd w:fill="F4F5F7"/>
            <w:vAlign w:val="top"/>
          </w:tcPr>
          <w:p>
            <w:pPr>
              <w:spacing w:after="50"/>
            </w:pPr>
            <w:r>
              <w:rPr>
                <w:rFonts w:ascii="Aptos" w:hAnsi="Aptos"/>
                <w:b/>
                <w:color w:val="362D4E"/>
                <w:sz w:val="18"/>
              </w:rPr>
              <w:t>Effective date</w:t>
            </w:r>
          </w:p>
        </w:tc>
        <w:tc>
          <w:tcPr>
            <w:tcW w:type="dxa" w:w="4933"/>
            <w:tcMar>
              <w:top w:w="90" w:type="dxa"/>
              <w:start w:w="100" w:type="dxa"/>
              <w:bottom w:w="90" w:type="dxa"/>
              <w:end w:w="100" w:type="dxa"/>
            </w:tcMar>
            <w:vAlign w:val="top"/>
          </w:tcPr>
          <w:p>
            <w:pPr>
              <w:spacing w:after="50"/>
            </w:pPr>
            <w:r>
              <w:rPr>
                <w:rFonts w:ascii="Aptos" w:hAnsi="Aptos"/>
                <w:sz w:val="18"/>
              </w:rPr>
              <w:t>10/08/2026</w:t>
            </w:r>
          </w:p>
        </w:tc>
      </w:tr>
      <w:tr>
        <w:trPr>
          <w:cantSplit/>
        </w:trPr>
        <w:tc>
          <w:tcPr>
            <w:tcW w:type="dxa" w:w="4933"/>
            <w:tcMar>
              <w:top w:w="90" w:type="dxa"/>
              <w:start w:w="100" w:type="dxa"/>
              <w:bottom w:w="90" w:type="dxa"/>
              <w:end w:w="100" w:type="dxa"/>
            </w:tcMar>
            <w:shd w:fill="F4F5F7"/>
            <w:vAlign w:val="top"/>
          </w:tcPr>
          <w:p>
            <w:pPr>
              <w:spacing w:after="50"/>
            </w:pPr>
            <w:r>
              <w:rPr>
                <w:rFonts w:ascii="Aptos" w:hAnsi="Aptos"/>
                <w:b/>
                <w:color w:val="362D4E"/>
                <w:sz w:val="18"/>
              </w:rPr>
              <w:t>Next scheduled review</w:t>
            </w:r>
          </w:p>
        </w:tc>
        <w:tc>
          <w:tcPr>
            <w:tcW w:type="dxa" w:w="4933"/>
            <w:tcMar>
              <w:top w:w="90" w:type="dxa"/>
              <w:start w:w="100" w:type="dxa"/>
              <w:bottom w:w="90" w:type="dxa"/>
              <w:end w:w="100" w:type="dxa"/>
            </w:tcMar>
            <w:vAlign w:val="top"/>
          </w:tcPr>
          <w:p>
            <w:pPr>
              <w:spacing w:after="50"/>
            </w:pPr>
            <w:r>
              <w:rPr>
                <w:rFonts w:ascii="Aptos" w:hAnsi="Aptos"/>
                <w:sz w:val="18"/>
              </w:rPr>
              <w:t>01/11/2026</w:t>
            </w:r>
          </w:p>
        </w:tc>
      </w:tr>
      <w:tr>
        <w:trPr>
          <w:cantSplit/>
        </w:trPr>
        <w:tc>
          <w:tcPr>
            <w:tcW w:type="dxa" w:w="4933"/>
            <w:tcMar>
              <w:top w:w="90" w:type="dxa"/>
              <w:start w:w="100" w:type="dxa"/>
              <w:bottom w:w="90" w:type="dxa"/>
              <w:end w:w="100" w:type="dxa"/>
            </w:tcMar>
            <w:shd w:fill="F4F5F7"/>
            <w:vAlign w:val="top"/>
          </w:tcPr>
          <w:p>
            <w:pPr>
              <w:spacing w:after="50"/>
            </w:pPr>
            <w:r>
              <w:rPr>
                <w:rFonts w:ascii="Aptos" w:hAnsi="Aptos"/>
                <w:b/>
                <w:color w:val="362D4E"/>
                <w:sz w:val="18"/>
              </w:rPr>
              <w:t>Classification</w:t>
            </w:r>
          </w:p>
        </w:tc>
        <w:tc>
          <w:tcPr>
            <w:tcW w:type="dxa" w:w="4933"/>
            <w:tcMar>
              <w:top w:w="90" w:type="dxa"/>
              <w:start w:w="100" w:type="dxa"/>
              <w:bottom w:w="90" w:type="dxa"/>
              <w:end w:w="100" w:type="dxa"/>
            </w:tcMar>
            <w:vAlign w:val="top"/>
          </w:tcPr>
          <w:p>
            <w:pPr>
              <w:spacing w:after="50"/>
            </w:pPr>
            <w:r>
              <w:rPr>
                <w:rFonts w:ascii="Aptos" w:hAnsi="Aptos"/>
                <w:sz w:val="18"/>
              </w:rPr>
              <w:t>Public</w:t>
            </w:r>
          </w:p>
        </w:tc>
      </w:tr>
      <w:tr>
        <w:trPr>
          <w:cantSplit/>
        </w:trPr>
        <w:tc>
          <w:tcPr>
            <w:tcW w:type="dxa" w:w="4933"/>
            <w:tcMar>
              <w:top w:w="90" w:type="dxa"/>
              <w:start w:w="100" w:type="dxa"/>
              <w:bottom w:w="90" w:type="dxa"/>
              <w:end w:w="100" w:type="dxa"/>
            </w:tcMar>
            <w:shd w:fill="F4F5F7"/>
            <w:vAlign w:val="top"/>
          </w:tcPr>
          <w:p>
            <w:pPr>
              <w:spacing w:after="50"/>
            </w:pPr>
            <w:r>
              <w:rPr>
                <w:rFonts w:ascii="Aptos" w:hAnsi="Aptos"/>
                <w:b/>
                <w:color w:val="362D4E"/>
                <w:sz w:val="18"/>
              </w:rPr>
              <w:t>Applies to</w:t>
            </w:r>
          </w:p>
        </w:tc>
        <w:tc>
          <w:tcPr>
            <w:tcW w:type="dxa" w:w="4933"/>
            <w:tcMar>
              <w:top w:w="90" w:type="dxa"/>
              <w:start w:w="100" w:type="dxa"/>
              <w:bottom w:w="90" w:type="dxa"/>
              <w:end w:w="100" w:type="dxa"/>
            </w:tcMar>
            <w:vAlign w:val="top"/>
          </w:tcPr>
          <w:p>
            <w:pPr>
              <w:spacing w:after="50"/>
            </w:pPr>
            <w:r>
              <w:rPr>
                <w:rFonts w:ascii="Aptos" w:hAnsi="Aptos"/>
                <w:sz w:val="18"/>
              </w:rPr>
              <w:t>All Qualia Academy learners/apprentices, staff, contractors, delivery partners, employers and relevant stakeholders</w:t>
            </w:r>
          </w:p>
        </w:tc>
      </w:tr>
      <w:tr>
        <w:trPr>
          <w:cantSplit/>
        </w:trPr>
        <w:tc>
          <w:tcPr>
            <w:tcW w:type="dxa" w:w="4933"/>
            <w:tcMar>
              <w:top w:w="90" w:type="dxa"/>
              <w:start w:w="100" w:type="dxa"/>
              <w:bottom w:w="90" w:type="dxa"/>
              <w:end w:w="100" w:type="dxa"/>
            </w:tcMar>
            <w:shd w:fill="F4F5F7"/>
            <w:vAlign w:val="top"/>
          </w:tcPr>
          <w:p>
            <w:pPr>
              <w:spacing w:after="50"/>
            </w:pPr>
            <w:r>
              <w:rPr>
                <w:rFonts w:ascii="Aptos" w:hAnsi="Aptos"/>
                <w:b/>
                <w:color w:val="362D4E"/>
                <w:sz w:val="18"/>
              </w:rPr>
              <w:t>Supersedes</w:t>
            </w:r>
          </w:p>
        </w:tc>
        <w:tc>
          <w:tcPr>
            <w:tcW w:type="dxa" w:w="4933"/>
            <w:tcMar>
              <w:top w:w="90" w:type="dxa"/>
              <w:start w:w="100" w:type="dxa"/>
              <w:bottom w:w="90" w:type="dxa"/>
              <w:end w:w="100" w:type="dxa"/>
            </w:tcMar>
            <w:vAlign w:val="top"/>
          </w:tcPr>
          <w:p>
            <w:pPr>
              <w:spacing w:after="50"/>
            </w:pPr>
            <w:r>
              <w:rPr>
                <w:rFonts w:ascii="Aptos" w:hAnsi="Aptos"/>
                <w:sz w:val="18"/>
              </w:rPr>
              <w:t>Previous Qualia Academy Bullying and Harassment Policy (2023 working copy)</w:t>
            </w:r>
          </w:p>
        </w:tc>
      </w:tr>
      <w:tr>
        <w:trPr>
          <w:cantSplit/>
        </w:trPr>
        <w:tc>
          <w:tcPr>
            <w:tcW w:type="dxa" w:w="4933"/>
            <w:tcMar>
              <w:top w:w="90" w:type="dxa"/>
              <w:start w:w="100" w:type="dxa"/>
              <w:bottom w:w="90" w:type="dxa"/>
              <w:end w:w="100" w:type="dxa"/>
            </w:tcMar>
            <w:shd w:fill="F4F5F7"/>
            <w:vAlign w:val="top"/>
          </w:tcPr>
          <w:p>
            <w:pPr>
              <w:spacing w:after="50"/>
            </w:pPr>
            <w:r>
              <w:rPr>
                <w:rFonts w:ascii="Aptos" w:hAnsi="Aptos"/>
                <w:b/>
                <w:color w:val="362D4E"/>
                <w:sz w:val="18"/>
              </w:rPr>
              <w:t>Review cycle</w:t>
            </w:r>
          </w:p>
        </w:tc>
        <w:tc>
          <w:tcPr>
            <w:tcW w:type="dxa" w:w="4933"/>
            <w:tcMar>
              <w:top w:w="90" w:type="dxa"/>
              <w:start w:w="100" w:type="dxa"/>
              <w:bottom w:w="90" w:type="dxa"/>
              <w:end w:w="100" w:type="dxa"/>
            </w:tcMar>
            <w:vAlign w:val="top"/>
          </w:tcPr>
          <w:p>
            <w:pPr>
              <w:spacing w:after="50"/>
            </w:pPr>
            <w:r>
              <w:rPr>
                <w:rFonts w:ascii="Aptos" w:hAnsi="Aptos"/>
                <w:sz w:val="18"/>
              </w:rPr>
              <w:t>At least annually and sooner where safeguarding, equality, apprenticeship funding, inspection, legal or technology-related requirements materially change</w:t>
            </w:r>
          </w:p>
        </w:tc>
      </w:tr>
    </w:tbl>
    <w:p>
      <w:pPr>
        <w:pStyle w:val="Heading1"/>
      </w:pPr>
      <w:r>
        <w:rPr>
          <w:rFonts w:ascii="Aptos" w:hAnsi="Aptos"/>
        </w:rPr>
        <w:t>Version Control and Historical Change Record</w:t>
      </w:r>
    </w:p>
    <w:p>
      <w:pPr>
        <w:pStyle w:val="PolicyNote"/>
      </w:pPr>
      <w:r>
        <w:rPr>
          <w:rFonts w:ascii="Aptos" w:hAnsi="Aptos"/>
        </w:rPr>
        <w:t>The 2020-2022 entries below are retained from the previous policy record. The 2023-2025 narratives are a retrospective consolidated record created in 2026 to document the policy’s annual regulatory alignment and the changes that should be reflected in the operative policy. They should not be treated as evidence of a historic approval meeting where separate approval records do not exist. V5.1:BAHP2026 is the current evidenced amendment.</w:t>
      </w:r>
    </w:p>
    <w:tbl>
      <w:tblPr>
        <w:tblW w:type="auto" w:w="0"/>
        <w:jc w:val="center"/>
        <w:tblLayout w:type="autofit"/>
        <w:tblLook w:firstColumn="1" w:firstRow="1" w:lastColumn="0" w:lastRow="0" w:noHBand="0" w:noVBand="1" w:val="04A0"/>
      </w:tblPr>
      <w:tblGrid>
        <w:gridCol w:w="2466"/>
        <w:gridCol w:w="2466"/>
        <w:gridCol w:w="2466"/>
        <w:gridCol w:w="2466"/>
      </w:tblGrid>
      <w:tr>
        <w:trPr>
          <w:tblHeader w:val="true"/>
        </w:trPr>
        <w:tc>
          <w:tcPr>
            <w:tcW w:type="dxa" w:w="2466"/>
            <w:shd w:fill="4B3E61"/>
            <w:tcMar>
              <w:top w:w="70" w:type="dxa"/>
              <w:start w:w="75" w:type="dxa"/>
              <w:bottom w:w="70" w:type="dxa"/>
              <w:end w:w="75" w:type="dxa"/>
            </w:tcMar>
            <w:vAlign w:val="top"/>
          </w:tcPr>
          <w:p>
            <w:pPr>
              <w:spacing w:after="50"/>
            </w:pPr>
            <w:r>
              <w:rPr>
                <w:rFonts w:ascii="Aptos" w:hAnsi="Aptos"/>
                <w:b/>
                <w:color w:val="FFFFFF"/>
                <w:sz w:val="17"/>
              </w:rPr>
              <w:t>Version</w:t>
            </w:r>
          </w:p>
        </w:tc>
        <w:tc>
          <w:tcPr>
            <w:tcW w:type="dxa" w:w="2466"/>
            <w:shd w:fill="4B3E61"/>
            <w:tcMar>
              <w:top w:w="70" w:type="dxa"/>
              <w:start w:w="75" w:type="dxa"/>
              <w:bottom w:w="70" w:type="dxa"/>
              <w:end w:w="75" w:type="dxa"/>
            </w:tcMar>
            <w:vAlign w:val="top"/>
          </w:tcPr>
          <w:p>
            <w:pPr>
              <w:spacing w:after="50"/>
            </w:pPr>
            <w:r>
              <w:rPr>
                <w:rFonts w:ascii="Aptos" w:hAnsi="Aptos"/>
                <w:b/>
                <w:color w:val="FFFFFF"/>
                <w:sz w:val="17"/>
              </w:rPr>
              <w:t>Date</w:t>
            </w:r>
          </w:p>
        </w:tc>
        <w:tc>
          <w:tcPr>
            <w:tcW w:type="dxa" w:w="2466"/>
            <w:shd w:fill="4B3E61"/>
            <w:tcMar>
              <w:top w:w="70" w:type="dxa"/>
              <w:start w:w="75" w:type="dxa"/>
              <w:bottom w:w="70" w:type="dxa"/>
              <w:end w:w="75" w:type="dxa"/>
            </w:tcMar>
            <w:vAlign w:val="top"/>
          </w:tcPr>
          <w:p>
            <w:pPr>
              <w:spacing w:after="50"/>
            </w:pPr>
            <w:r>
              <w:rPr>
                <w:rFonts w:ascii="Aptos" w:hAnsi="Aptos"/>
                <w:b/>
                <w:color w:val="FFFFFF"/>
                <w:sz w:val="17"/>
              </w:rPr>
              <w:t>Substantive change narrative</w:t>
            </w:r>
          </w:p>
        </w:tc>
        <w:tc>
          <w:tcPr>
            <w:tcW w:type="dxa" w:w="2466"/>
            <w:shd w:fill="4B3E61"/>
            <w:tcMar>
              <w:top w:w="70" w:type="dxa"/>
              <w:start w:w="75" w:type="dxa"/>
              <w:bottom w:w="70" w:type="dxa"/>
              <w:end w:w="75" w:type="dxa"/>
            </w:tcMar>
            <w:vAlign w:val="top"/>
          </w:tcPr>
          <w:p>
            <w:pPr>
              <w:spacing w:after="50"/>
            </w:pPr>
            <w:r>
              <w:rPr>
                <w:rFonts w:ascii="Aptos" w:hAnsi="Aptos"/>
                <w:b/>
                <w:color w:val="FFFFFF"/>
                <w:sz w:val="17"/>
              </w:rPr>
              <w:t>Owner</w:t>
            </w:r>
          </w:p>
        </w:tc>
      </w:tr>
      <w:tr>
        <w:trPr>
          <w:cantSplit/>
        </w:trPr>
        <w:tc>
          <w:tcPr>
            <w:tcW w:type="dxa" w:w="2466"/>
            <w:tcMar>
              <w:top w:w="65" w:type="dxa"/>
              <w:start w:w="75" w:type="dxa"/>
              <w:bottom w:w="65" w:type="dxa"/>
              <w:end w:w="75" w:type="dxa"/>
            </w:tcMar>
            <w:vAlign w:val="top"/>
          </w:tcPr>
          <w:p>
            <w:pPr>
              <w:spacing w:after="50"/>
            </w:pPr>
            <w:r>
              <w:rPr>
                <w:rFonts w:ascii="Aptos" w:hAnsi="Aptos"/>
                <w:b/>
                <w:color w:val="7E4A9A"/>
                <w:sz w:val="16"/>
              </w:rPr>
              <w:t>V1:BAHP2020</w:t>
            </w:r>
          </w:p>
        </w:tc>
        <w:tc>
          <w:tcPr>
            <w:tcW w:type="dxa" w:w="2466"/>
            <w:tcMar>
              <w:top w:w="65" w:type="dxa"/>
              <w:start w:w="75" w:type="dxa"/>
              <w:bottom w:w="65" w:type="dxa"/>
              <w:end w:w="75" w:type="dxa"/>
            </w:tcMar>
            <w:vAlign w:val="top"/>
          </w:tcPr>
          <w:p>
            <w:pPr>
              <w:spacing w:after="50"/>
            </w:pPr>
            <w:r>
              <w:rPr>
                <w:rFonts w:ascii="Aptos" w:hAnsi="Aptos"/>
                <w:sz w:val="16"/>
              </w:rPr>
              <w:t>01/11/2020</w:t>
            </w:r>
          </w:p>
        </w:tc>
        <w:tc>
          <w:tcPr>
            <w:tcW w:type="dxa" w:w="2466"/>
            <w:tcMar>
              <w:top w:w="65" w:type="dxa"/>
              <w:start w:w="75" w:type="dxa"/>
              <w:bottom w:w="65" w:type="dxa"/>
              <w:end w:w="75" w:type="dxa"/>
            </w:tcMar>
            <w:vAlign w:val="top"/>
          </w:tcPr>
          <w:p>
            <w:pPr>
              <w:spacing w:after="50"/>
            </w:pPr>
            <w:r>
              <w:rPr>
                <w:rFonts w:ascii="Aptos" w:hAnsi="Aptos"/>
                <w:sz w:val="16"/>
              </w:rPr>
              <w:t>First policy issued for consultation and approval. Established objectives, scope, definitions of harassment and bullying, cyberbullying, police partnership, informal/formal complaint routes, monitoring and related policies. Aligned with the safeguarding context in KCSIE 2020, including increased emphasis on mental health, domestic abuse, exploitation and online risk.</w:t>
            </w:r>
          </w:p>
        </w:tc>
        <w:tc>
          <w:tcPr>
            <w:tcW w:type="dxa" w:w="2466"/>
            <w:tcMar>
              <w:top w:w="65" w:type="dxa"/>
              <w:start w:w="75" w:type="dxa"/>
              <w:bottom w:w="65" w:type="dxa"/>
              <w:end w:w="75" w:type="dxa"/>
            </w:tcMar>
            <w:vAlign w:val="top"/>
          </w:tcPr>
          <w:p>
            <w:pPr>
              <w:spacing w:after="50"/>
            </w:pPr>
            <w:r>
              <w:rPr>
                <w:rFonts w:ascii="Aptos" w:hAnsi="Aptos"/>
                <w:sz w:val="16"/>
              </w:rPr>
              <w:t>Kirsty Watson</w:t>
            </w:r>
          </w:p>
        </w:tc>
      </w:tr>
      <w:tr>
        <w:trPr>
          <w:cantSplit/>
        </w:trPr>
        <w:tc>
          <w:tcPr>
            <w:tcW w:type="dxa" w:w="2466"/>
            <w:tcMar>
              <w:top w:w="65" w:type="dxa"/>
              <w:start w:w="75" w:type="dxa"/>
              <w:bottom w:w="65" w:type="dxa"/>
              <w:end w:w="75" w:type="dxa"/>
            </w:tcMar>
            <w:vAlign w:val="top"/>
          </w:tcPr>
          <w:p>
            <w:pPr>
              <w:spacing w:after="50"/>
            </w:pPr>
            <w:r>
              <w:rPr>
                <w:rFonts w:ascii="Aptos" w:hAnsi="Aptos"/>
                <w:b/>
                <w:color w:val="7E4A9A"/>
                <w:sz w:val="16"/>
              </w:rPr>
              <w:t>V1.1:BAHP2021</w:t>
            </w:r>
          </w:p>
        </w:tc>
        <w:tc>
          <w:tcPr>
            <w:tcW w:type="dxa" w:w="2466"/>
            <w:tcMar>
              <w:top w:w="65" w:type="dxa"/>
              <w:start w:w="75" w:type="dxa"/>
              <w:bottom w:w="65" w:type="dxa"/>
              <w:end w:w="75" w:type="dxa"/>
            </w:tcMar>
            <w:vAlign w:val="top"/>
          </w:tcPr>
          <w:p>
            <w:pPr>
              <w:spacing w:after="50"/>
            </w:pPr>
            <w:r>
              <w:rPr>
                <w:rFonts w:ascii="Aptos" w:hAnsi="Aptos"/>
                <w:sz w:val="16"/>
              </w:rPr>
              <w:t>01/11/2021</w:t>
            </w:r>
          </w:p>
        </w:tc>
        <w:tc>
          <w:tcPr>
            <w:tcW w:type="dxa" w:w="2466"/>
            <w:tcMar>
              <w:top w:w="65" w:type="dxa"/>
              <w:start w:w="75" w:type="dxa"/>
              <w:bottom w:w="65" w:type="dxa"/>
              <w:end w:w="75" w:type="dxa"/>
            </w:tcMar>
            <w:vAlign w:val="top"/>
          </w:tcPr>
          <w:p>
            <w:pPr>
              <w:spacing w:after="50"/>
            </w:pPr>
            <w:r>
              <w:rPr>
                <w:rFonts w:ascii="Aptos" w:hAnsi="Aptos"/>
                <w:sz w:val="16"/>
              </w:rPr>
              <w:t>Annual review. Strengthened child-on-child abuse awareness, staff reporting and escalation routes in light of KCSIE 2021, including the introduction of low-level-concern expectations for adults working with children. Clarified that safeguarding concerns may require action outside the ordinary complaints route.</w:t>
            </w:r>
          </w:p>
        </w:tc>
        <w:tc>
          <w:tcPr>
            <w:tcW w:type="dxa" w:w="2466"/>
            <w:tcMar>
              <w:top w:w="65" w:type="dxa"/>
              <w:start w:w="75" w:type="dxa"/>
              <w:bottom w:w="65" w:type="dxa"/>
              <w:end w:w="75" w:type="dxa"/>
            </w:tcMar>
            <w:vAlign w:val="top"/>
          </w:tcPr>
          <w:p>
            <w:pPr>
              <w:spacing w:after="50"/>
            </w:pPr>
            <w:r>
              <w:rPr>
                <w:rFonts w:ascii="Aptos" w:hAnsi="Aptos"/>
                <w:sz w:val="16"/>
              </w:rPr>
              <w:t>Kirsty Watson</w:t>
            </w:r>
          </w:p>
        </w:tc>
      </w:tr>
      <w:tr>
        <w:trPr>
          <w:cantSplit/>
        </w:trPr>
        <w:tc>
          <w:tcPr>
            <w:tcW w:type="dxa" w:w="2466"/>
            <w:tcMar>
              <w:top w:w="65" w:type="dxa"/>
              <w:start w:w="75" w:type="dxa"/>
              <w:bottom w:w="65" w:type="dxa"/>
              <w:end w:w="75" w:type="dxa"/>
            </w:tcMar>
            <w:vAlign w:val="top"/>
          </w:tcPr>
          <w:p>
            <w:pPr>
              <w:spacing w:after="50"/>
            </w:pPr>
            <w:r>
              <w:rPr>
                <w:rFonts w:ascii="Aptos" w:hAnsi="Aptos"/>
                <w:b/>
                <w:color w:val="7E4A9A"/>
                <w:sz w:val="16"/>
              </w:rPr>
              <w:t>V2:BAHP2022</w:t>
            </w:r>
          </w:p>
        </w:tc>
        <w:tc>
          <w:tcPr>
            <w:tcW w:type="dxa" w:w="2466"/>
            <w:tcMar>
              <w:top w:w="65" w:type="dxa"/>
              <w:start w:w="75" w:type="dxa"/>
              <w:bottom w:w="65" w:type="dxa"/>
              <w:end w:w="75" w:type="dxa"/>
            </w:tcMar>
            <w:vAlign w:val="top"/>
          </w:tcPr>
          <w:p>
            <w:pPr>
              <w:spacing w:after="50"/>
            </w:pPr>
            <w:r>
              <w:rPr>
                <w:rFonts w:ascii="Aptos" w:hAnsi="Aptos"/>
                <w:sz w:val="16"/>
              </w:rPr>
              <w:t>01/11/2022</w:t>
            </w:r>
          </w:p>
        </w:tc>
        <w:tc>
          <w:tcPr>
            <w:tcW w:type="dxa" w:w="2466"/>
            <w:tcMar>
              <w:top w:w="65" w:type="dxa"/>
              <w:start w:w="75" w:type="dxa"/>
              <w:bottom w:w="65" w:type="dxa"/>
              <w:end w:w="75" w:type="dxa"/>
            </w:tcMar>
            <w:vAlign w:val="top"/>
          </w:tcPr>
          <w:p>
            <w:pPr>
              <w:spacing w:after="50"/>
            </w:pPr>
            <w:r>
              <w:rPr>
                <w:rFonts w:ascii="Aptos" w:hAnsi="Aptos"/>
                <w:sz w:val="16"/>
              </w:rPr>
              <w:t>Substantive update. Added restorative-practice approach and more explicit sexual-harassment content, including sexual imagery and unwanted advances. Strengthened child-on-child abuse, sexual harassment/violence, cyberbullying and victim support in line with KCSIE 2022.</w:t>
            </w:r>
          </w:p>
        </w:tc>
        <w:tc>
          <w:tcPr>
            <w:tcW w:type="dxa" w:w="2466"/>
            <w:tcMar>
              <w:top w:w="65" w:type="dxa"/>
              <w:start w:w="75" w:type="dxa"/>
              <w:bottom w:w="65" w:type="dxa"/>
              <w:end w:w="75" w:type="dxa"/>
            </w:tcMar>
            <w:vAlign w:val="top"/>
          </w:tcPr>
          <w:p>
            <w:pPr>
              <w:spacing w:after="50"/>
            </w:pPr>
            <w:r>
              <w:rPr>
                <w:rFonts w:ascii="Aptos" w:hAnsi="Aptos"/>
                <w:sz w:val="16"/>
              </w:rPr>
              <w:t>Kirsty Watson</w:t>
            </w:r>
          </w:p>
        </w:tc>
      </w:tr>
      <w:tr>
        <w:trPr>
          <w:cantSplit/>
        </w:trPr>
        <w:tc>
          <w:tcPr>
            <w:tcW w:type="dxa" w:w="2466"/>
            <w:tcMar>
              <w:top w:w="65" w:type="dxa"/>
              <w:start w:w="75" w:type="dxa"/>
              <w:bottom w:w="65" w:type="dxa"/>
              <w:end w:w="75" w:type="dxa"/>
            </w:tcMar>
            <w:vAlign w:val="top"/>
          </w:tcPr>
          <w:p>
            <w:pPr>
              <w:spacing w:after="50"/>
            </w:pPr>
            <w:r>
              <w:rPr>
                <w:rFonts w:ascii="Aptos" w:hAnsi="Aptos"/>
                <w:b/>
                <w:color w:val="7E4A9A"/>
                <w:sz w:val="16"/>
              </w:rPr>
              <w:t>V3:BAHP2023</w:t>
            </w:r>
          </w:p>
        </w:tc>
        <w:tc>
          <w:tcPr>
            <w:tcW w:type="dxa" w:w="2466"/>
            <w:tcMar>
              <w:top w:w="65" w:type="dxa"/>
              <w:start w:w="75" w:type="dxa"/>
              <w:bottom w:w="65" w:type="dxa"/>
              <w:end w:w="75" w:type="dxa"/>
            </w:tcMar>
            <w:vAlign w:val="top"/>
          </w:tcPr>
          <w:p>
            <w:pPr>
              <w:spacing w:after="50"/>
            </w:pPr>
            <w:r>
              <w:rPr>
                <w:rFonts w:ascii="Aptos" w:hAnsi="Aptos"/>
                <w:sz w:val="16"/>
              </w:rPr>
              <w:t>01/11/2023</w:t>
            </w:r>
          </w:p>
        </w:tc>
        <w:tc>
          <w:tcPr>
            <w:tcW w:type="dxa" w:w="2466"/>
            <w:tcMar>
              <w:top w:w="65" w:type="dxa"/>
              <w:start w:w="75" w:type="dxa"/>
              <w:bottom w:w="65" w:type="dxa"/>
              <w:end w:w="75" w:type="dxa"/>
            </w:tcMar>
            <w:vAlign w:val="top"/>
          </w:tcPr>
          <w:p>
            <w:pPr>
              <w:spacing w:after="50"/>
            </w:pPr>
            <w:r>
              <w:rPr>
                <w:rFonts w:ascii="Aptos" w:hAnsi="Aptos"/>
                <w:sz w:val="16"/>
              </w:rPr>
              <w:t>Annual digital-safeguarding review. Expanded cyberbullying and online-harassment controls, clarified reporting of social-media incidents and strengthened staff awareness of filtering/monitoring and online risk following KCSIE 2023. Strengthened employer/learner induction and reporting routes for work-based apprentices.</w:t>
            </w:r>
          </w:p>
        </w:tc>
        <w:tc>
          <w:tcPr>
            <w:tcW w:type="dxa" w:w="2466"/>
            <w:tcMar>
              <w:top w:w="65" w:type="dxa"/>
              <w:start w:w="75" w:type="dxa"/>
              <w:bottom w:w="65" w:type="dxa"/>
              <w:end w:w="75" w:type="dxa"/>
            </w:tcMar>
            <w:vAlign w:val="top"/>
          </w:tcPr>
          <w:p>
            <w:pPr>
              <w:spacing w:after="50"/>
            </w:pPr>
            <w:r>
              <w:rPr>
                <w:rFonts w:ascii="Aptos" w:hAnsi="Aptos"/>
                <w:sz w:val="16"/>
              </w:rPr>
              <w:t>Kirsty Watson</w:t>
            </w:r>
          </w:p>
        </w:tc>
      </w:tr>
      <w:tr>
        <w:trPr>
          <w:cantSplit/>
        </w:trPr>
        <w:tc>
          <w:tcPr>
            <w:tcW w:type="dxa" w:w="2466"/>
            <w:tcMar>
              <w:top w:w="65" w:type="dxa"/>
              <w:start w:w="75" w:type="dxa"/>
              <w:bottom w:w="65" w:type="dxa"/>
              <w:end w:w="75" w:type="dxa"/>
            </w:tcMar>
            <w:vAlign w:val="top"/>
          </w:tcPr>
          <w:p>
            <w:pPr>
              <w:spacing w:after="50"/>
            </w:pPr>
            <w:r>
              <w:rPr>
                <w:rFonts w:ascii="Aptos" w:hAnsi="Aptos"/>
                <w:b/>
                <w:color w:val="7E4A9A"/>
                <w:sz w:val="16"/>
              </w:rPr>
              <w:t>V4:BAHP2024</w:t>
            </w:r>
          </w:p>
        </w:tc>
        <w:tc>
          <w:tcPr>
            <w:tcW w:type="dxa" w:w="2466"/>
            <w:tcMar>
              <w:top w:w="65" w:type="dxa"/>
              <w:start w:w="75" w:type="dxa"/>
              <w:bottom w:w="65" w:type="dxa"/>
              <w:end w:w="75" w:type="dxa"/>
            </w:tcMar>
            <w:vAlign w:val="top"/>
          </w:tcPr>
          <w:p>
            <w:pPr>
              <w:spacing w:after="50"/>
            </w:pPr>
            <w:r>
              <w:rPr>
                <w:rFonts w:ascii="Aptos" w:hAnsi="Aptos"/>
                <w:sz w:val="16"/>
              </w:rPr>
              <w:t>01/11/2024</w:t>
            </w:r>
          </w:p>
        </w:tc>
        <w:tc>
          <w:tcPr>
            <w:tcW w:type="dxa" w:w="2466"/>
            <w:tcMar>
              <w:top w:w="65" w:type="dxa"/>
              <w:start w:w="75" w:type="dxa"/>
              <w:bottom w:w="65" w:type="dxa"/>
              <w:end w:w="75" w:type="dxa"/>
            </w:tcMar>
            <w:vAlign w:val="top"/>
          </w:tcPr>
          <w:p>
            <w:pPr>
              <w:spacing w:after="50"/>
            </w:pPr>
            <w:r>
              <w:rPr>
                <w:rFonts w:ascii="Aptos" w:hAnsi="Aptos"/>
                <w:sz w:val="16"/>
              </w:rPr>
              <w:t>Annual safeguarding and equality review. Incorporated the multi-agency and education-provider expectations arising from Working Together to Safeguard Children 2023, retained KCSIE 2024 alignment, strengthened anti-discriminatory and prejudice-based bullying provisions, and updated sexual-harassment prevention expectations following commencement of the Worker Protection (Amendment of Equality Act 2010) Act 2023 on 26 October 2024.</w:t>
            </w:r>
          </w:p>
        </w:tc>
        <w:tc>
          <w:tcPr>
            <w:tcW w:type="dxa" w:w="2466"/>
            <w:tcMar>
              <w:top w:w="65" w:type="dxa"/>
              <w:start w:w="75" w:type="dxa"/>
              <w:bottom w:w="65" w:type="dxa"/>
              <w:end w:w="75" w:type="dxa"/>
            </w:tcMar>
            <w:vAlign w:val="top"/>
          </w:tcPr>
          <w:p>
            <w:pPr>
              <w:spacing w:after="50"/>
            </w:pPr>
            <w:r>
              <w:rPr>
                <w:rFonts w:ascii="Aptos" w:hAnsi="Aptos"/>
                <w:sz w:val="16"/>
              </w:rPr>
              <w:t>Kirsty Watson</w:t>
            </w:r>
          </w:p>
        </w:tc>
      </w:tr>
      <w:tr>
        <w:trPr>
          <w:cantSplit/>
        </w:trPr>
        <w:tc>
          <w:tcPr>
            <w:tcW w:type="dxa" w:w="2466"/>
            <w:tcMar>
              <w:top w:w="65" w:type="dxa"/>
              <w:start w:w="75" w:type="dxa"/>
              <w:bottom w:w="65" w:type="dxa"/>
              <w:end w:w="75" w:type="dxa"/>
            </w:tcMar>
            <w:vAlign w:val="top"/>
          </w:tcPr>
          <w:p>
            <w:pPr>
              <w:spacing w:after="50"/>
            </w:pPr>
            <w:r>
              <w:rPr>
                <w:rFonts w:ascii="Aptos" w:hAnsi="Aptos"/>
                <w:b/>
                <w:color w:val="7E4A9A"/>
                <w:sz w:val="16"/>
              </w:rPr>
              <w:t>V5:BAHP2025</w:t>
            </w:r>
          </w:p>
        </w:tc>
        <w:tc>
          <w:tcPr>
            <w:tcW w:type="dxa" w:w="2466"/>
            <w:tcMar>
              <w:top w:w="65" w:type="dxa"/>
              <w:start w:w="75" w:type="dxa"/>
              <w:bottom w:w="65" w:type="dxa"/>
              <w:end w:w="75" w:type="dxa"/>
            </w:tcMar>
            <w:vAlign w:val="top"/>
          </w:tcPr>
          <w:p>
            <w:pPr>
              <w:spacing w:after="50"/>
            </w:pPr>
            <w:r>
              <w:rPr>
                <w:rFonts w:ascii="Aptos" w:hAnsi="Aptos"/>
                <w:sz w:val="16"/>
              </w:rPr>
              <w:t>01/11/2025</w:t>
            </w:r>
          </w:p>
        </w:tc>
        <w:tc>
          <w:tcPr>
            <w:tcW w:type="dxa" w:w="2466"/>
            <w:tcMar>
              <w:top w:w="65" w:type="dxa"/>
              <w:start w:w="75" w:type="dxa"/>
              <w:bottom w:w="65" w:type="dxa"/>
              <w:end w:w="75" w:type="dxa"/>
            </w:tcMar>
            <w:vAlign w:val="top"/>
          </w:tcPr>
          <w:p>
            <w:pPr>
              <w:spacing w:after="50"/>
            </w:pPr>
            <w:r>
              <w:rPr>
                <w:rFonts w:ascii="Aptos" w:hAnsi="Aptos"/>
                <w:sz w:val="16"/>
              </w:rPr>
              <w:t>Annual quality and safeguarding review. Updated for KCSIE 2025 and prepared the policy for Ofsted’s renewed FE and skills inspection framework introduced in November 2025. Strengthened learner/apprentice voice, employer partnership, safeguarding culture, staff training, records, online safety and governance oversight for apprenticeships and other government-funded provision.</w:t>
            </w:r>
          </w:p>
        </w:tc>
        <w:tc>
          <w:tcPr>
            <w:tcW w:type="dxa" w:w="2466"/>
            <w:tcMar>
              <w:top w:w="65" w:type="dxa"/>
              <w:start w:w="75" w:type="dxa"/>
              <w:bottom w:w="65" w:type="dxa"/>
              <w:end w:w="75" w:type="dxa"/>
            </w:tcMar>
            <w:vAlign w:val="top"/>
          </w:tcPr>
          <w:p>
            <w:pPr>
              <w:spacing w:after="50"/>
            </w:pPr>
            <w:r>
              <w:rPr>
                <w:rFonts w:ascii="Aptos" w:hAnsi="Aptos"/>
                <w:sz w:val="16"/>
              </w:rPr>
              <w:t>Kirsty Watson</w:t>
            </w:r>
          </w:p>
        </w:tc>
      </w:tr>
      <w:tr>
        <w:trPr>
          <w:cantSplit/>
        </w:trPr>
        <w:tc>
          <w:tcPr>
            <w:tcW w:type="dxa" w:w="2466"/>
            <w:tcMar>
              <w:top w:w="65" w:type="dxa"/>
              <w:start w:w="75" w:type="dxa"/>
              <w:bottom w:w="65" w:type="dxa"/>
              <w:end w:w="75" w:type="dxa"/>
            </w:tcMar>
            <w:vAlign w:val="top"/>
          </w:tcPr>
          <w:p>
            <w:pPr>
              <w:spacing w:after="50"/>
            </w:pPr>
            <w:r>
              <w:rPr>
                <w:rFonts w:ascii="Aptos" w:hAnsi="Aptos"/>
                <w:b/>
                <w:color w:val="7E4A9A"/>
                <w:sz w:val="16"/>
              </w:rPr>
              <w:t>V5.1:BAHP2026</w:t>
            </w:r>
          </w:p>
        </w:tc>
        <w:tc>
          <w:tcPr>
            <w:tcW w:type="dxa" w:w="2466"/>
            <w:tcMar>
              <w:top w:w="65" w:type="dxa"/>
              <w:start w:w="75" w:type="dxa"/>
              <w:bottom w:w="65" w:type="dxa"/>
              <w:end w:w="75" w:type="dxa"/>
            </w:tcMar>
            <w:vAlign w:val="top"/>
          </w:tcPr>
          <w:p>
            <w:pPr>
              <w:spacing w:after="50"/>
            </w:pPr>
            <w:r>
              <w:rPr>
                <w:rFonts w:ascii="Aptos" w:hAnsi="Aptos"/>
                <w:sz w:val="16"/>
              </w:rPr>
              <w:t>10/08/2026</w:t>
            </w:r>
          </w:p>
        </w:tc>
        <w:tc>
          <w:tcPr>
            <w:tcW w:type="dxa" w:w="2466"/>
            <w:tcMar>
              <w:top w:w="65" w:type="dxa"/>
              <w:start w:w="75" w:type="dxa"/>
              <w:bottom w:w="65" w:type="dxa"/>
              <w:end w:w="75" w:type="dxa"/>
            </w:tcMar>
            <w:vAlign w:val="top"/>
          </w:tcPr>
          <w:p>
            <w:pPr>
              <w:spacing w:after="50"/>
            </w:pPr>
            <w:r>
              <w:rPr>
                <w:rFonts w:ascii="Aptos" w:hAnsi="Aptos"/>
                <w:sz w:val="16"/>
              </w:rPr>
              <w:t>Interim statutory and regulatory update following Working Together to Safeguard Children 2026 and material developments after the 2025 annual review. Added explicit anti-racist/anti-discriminatory culture expectations; strengthened teenage relationship abuse, coercive control, hidden harms, online harms and multi-agency information sharing; aligned with KCSIE 2026 in advance of 1 September 2026; aligned with Ofsted’s September 2026 FE and skills inspection materials; incorporated apprenticeship funding rules 2026/27 Version 2, updated ITP oversight and provider safeguarding expectations; expanded workplace bullying/harassment, employer responsibilities, adult safeguarding, AI-generated sexual imagery/deepfakes, person-in-position-of-trust/LADO routes, and preparatory employment-law changes due from 30 October 2026. Reframed restorative practice as voluntary and safeguarding-led and removed any expectation that Qualia provides clinical therapy.</w:t>
            </w:r>
          </w:p>
        </w:tc>
        <w:tc>
          <w:tcPr>
            <w:tcW w:type="dxa" w:w="2466"/>
            <w:tcMar>
              <w:top w:w="65" w:type="dxa"/>
              <w:start w:w="75" w:type="dxa"/>
              <w:bottom w:w="65" w:type="dxa"/>
              <w:end w:w="75" w:type="dxa"/>
            </w:tcMar>
            <w:vAlign w:val="top"/>
          </w:tcPr>
          <w:p>
            <w:pPr>
              <w:spacing w:after="50"/>
            </w:pPr>
            <w:r>
              <w:rPr>
                <w:rFonts w:ascii="Aptos" w:hAnsi="Aptos"/>
                <w:sz w:val="16"/>
              </w:rPr>
              <w:t>Kirsty Watson</w:t>
            </w:r>
          </w:p>
        </w:tc>
      </w:tr>
    </w:tbl>
    <w:p>
      <w:pPr>
        <w:pStyle w:val="Heading1"/>
      </w:pPr>
      <w:r>
        <w:rPr>
          <w:rFonts w:ascii="Aptos" w:hAnsi="Aptos"/>
        </w:rPr>
        <w:t>Rationale for V5.1 Interim Update</w:t>
      </w:r>
    </w:p>
    <w:p>
      <w:r>
        <w:rPr>
          <w:rFonts w:ascii="Aptos" w:hAnsi="Aptos"/>
        </w:rPr>
        <w:t>The normal annual review point for this policy is 1 November. An interim update has been issued on 10 August 2026 because several safeguarding, inspection, funding and employment-law developments occurred after the November 2025 review and should not reasonably be left until the next annual cycle.</w:t>
      </w:r>
    </w:p>
    <w:p>
      <w:pPr>
        <w:pStyle w:val="PolicyBullet"/>
        <w:ind w:left="312" w:hanging="142"/>
      </w:pPr>
      <w:r>
        <w:rPr>
          <w:rFonts w:ascii="Aptos" w:hAnsi="Aptos"/>
        </w:rPr>
        <w:t>Working Together to Safeguard Children 2026 was published on 18 March 2026. It expressly applies to education providers and strengthens expectations on inclusive anti-discriminatory cultures, challenging racism and discrimination, abusive intimate relationships and coercive control, hidden harms such as child sexual abuse and teenage relationship abuse, online harms, group-based exploitation and multi-agency information sharing.</w:t>
      </w:r>
    </w:p>
    <w:p>
      <w:pPr>
        <w:pStyle w:val="PolicyBullet"/>
        <w:ind w:left="312" w:hanging="142"/>
      </w:pPr>
      <w:r>
        <w:rPr>
          <w:rFonts w:ascii="Aptos" w:hAnsi="Aptos"/>
        </w:rPr>
        <w:t>KCSIE 2026 was published on 7 July 2026 and comes into force on 1 September 2026. It strengthens child-on-child abuse, misogyny, sexual harassment/violence, online risk, generative-AI harms, information sharing and consistent safeguarding expectations for staff. KCSIE 2025 remains in force until 31 August 2026.</w:t>
      </w:r>
    </w:p>
    <w:p>
      <w:pPr>
        <w:pStyle w:val="PolicyBullet"/>
        <w:ind w:left="312" w:hanging="142"/>
      </w:pPr>
      <w:r>
        <w:rPr>
          <w:rFonts w:ascii="Aptos" w:hAnsi="Aptos"/>
        </w:rPr>
        <w:t>Ofsted published revised FE and skills inspection materials for use from September 2026. They emphasise open safeguarding culture, learner/apprentice voice, effective referral systems, multi-agency work, staff training and the provider’s implementation and review of safeguarding policies. Ofsted states its safeguarding expectations are based on KCSIE, Working Together and government guidance on adult safety.</w:t>
      </w:r>
    </w:p>
    <w:p>
      <w:pPr>
        <w:pStyle w:val="PolicyBullet"/>
        <w:ind w:left="312" w:hanging="142"/>
      </w:pPr>
      <w:r>
        <w:rPr>
          <w:rFonts w:ascii="Aptos" w:hAnsi="Aptos"/>
        </w:rPr>
        <w:t>The current apprenticeship funding rules for 2026 to 2027 are Version 2, published on 15 July 2026. Government provider guidance expects safeguarding arrangements for all apprentices and recognises provider/employer shared responsibility for apprentice progress, development and wellbeing.</w:t>
      </w:r>
    </w:p>
    <w:p>
      <w:pPr>
        <w:pStyle w:val="PolicyBullet"/>
        <w:ind w:left="312" w:hanging="142"/>
      </w:pPr>
      <w:r>
        <w:rPr>
          <w:rFonts w:ascii="Aptos" w:hAnsi="Aptos"/>
        </w:rPr>
        <w:t>Government oversight guidance for independent training providers was updated in May 2026. Safeguarding is a specific risk area and a “not met” Ofsted safeguarding judgement can trigger contractual intervention.</w:t>
      </w:r>
    </w:p>
    <w:p>
      <w:pPr>
        <w:pStyle w:val="PolicyBullet"/>
        <w:ind w:left="312" w:hanging="142"/>
      </w:pPr>
      <w:r>
        <w:rPr>
          <w:rFonts w:ascii="Aptos" w:hAnsi="Aptos"/>
        </w:rPr>
        <w:t>The Employment Rights Act 2025 will strengthen workplace sexual-harassment duties from 30 October 2026. Although those provisions are not yet in force on the effective date of this policy, Qualia Academy has included a preparatory statement because apprentices are employees and workplace harassment can directly affect learner safety and continuation.</w:t>
      </w:r>
    </w:p>
    <w:p>
      <w:pPr>
        <w:pStyle w:val="PolicyBullet"/>
        <w:ind w:left="312" w:hanging="142"/>
      </w:pPr>
      <w:r>
        <w:rPr>
          <w:rFonts w:ascii="Aptos" w:hAnsi="Aptos"/>
        </w:rPr>
        <w:t>The previous policy included restorative practice and self-guided dialectical behaviour therapy. The restorative principle has been retained with stronger safeguards, but clinical or therapeutic intervention is now limited to signposting/referral to appropriately qualified services.</w:t>
      </w:r>
    </w:p>
    <w:p>
      <w:pPr>
        <w:pStyle w:val="Heading1"/>
      </w:pPr>
      <w:r>
        <w:rPr>
          <w:rFonts w:ascii="Aptos" w:hAnsi="Aptos"/>
        </w:rPr>
        <w:t>External Reference List</w:t>
      </w:r>
    </w:p>
    <w:p>
      <w:pPr>
        <w:pStyle w:val="PolicyBullet"/>
      </w:pPr>
      <w:hyperlink r:id="rId11">
        <w:r>
          <w:rPr>
            <w:color w:val="2A6F78"/>
            <w:u w:val="single"/>
            <w:rFonts w:ascii="Aptos" w:hAnsi="Aptos"/>
          </w:rPr>
          <w:t>Working Together to Safeguard Children 2026</w:t>
        </w:r>
      </w:hyperlink>
    </w:p>
    <w:p>
      <w:pPr>
        <w:pStyle w:val="PolicyBullet"/>
      </w:pPr>
      <w:hyperlink r:id="rId12">
        <w:r>
          <w:rPr>
            <w:color w:val="2A6F78"/>
            <w:u w:val="single"/>
            <w:rFonts w:ascii="Aptos" w:hAnsi="Aptos"/>
          </w:rPr>
          <w:t>Working Together to Safeguard Children 2026: summary of changes</w:t>
        </w:r>
      </w:hyperlink>
    </w:p>
    <w:p>
      <w:pPr>
        <w:pStyle w:val="PolicyBullet"/>
      </w:pPr>
      <w:hyperlink r:id="rId13">
        <w:r>
          <w:rPr>
            <w:color w:val="2A6F78"/>
            <w:u w:val="single"/>
            <w:rFonts w:ascii="Aptos" w:hAnsi="Aptos"/>
          </w:rPr>
          <w:t>Keeping Children Safe in Education</w:t>
        </w:r>
      </w:hyperlink>
    </w:p>
    <w:p>
      <w:pPr>
        <w:pStyle w:val="PolicyBullet"/>
      </w:pPr>
      <w:hyperlink r:id="rId14">
        <w:r>
          <w:rPr>
            <w:color w:val="2A6F78"/>
            <w:u w:val="single"/>
            <w:rFonts w:ascii="Aptos" w:hAnsi="Aptos"/>
          </w:rPr>
          <w:t>Ofsted FE and skills inspection toolkit, operating guides and information</w:t>
        </w:r>
      </w:hyperlink>
    </w:p>
    <w:p>
      <w:pPr>
        <w:pStyle w:val="PolicyBullet"/>
      </w:pPr>
      <w:hyperlink r:id="rId15">
        <w:r>
          <w:rPr>
            <w:color w:val="2A6F78"/>
            <w:u w:val="single"/>
            <w:rFonts w:ascii="Aptos" w:hAnsi="Aptos"/>
          </w:rPr>
          <w:t>Inspection information for FE and skills providers - from September 2026</w:t>
        </w:r>
      </w:hyperlink>
    </w:p>
    <w:p>
      <w:pPr>
        <w:pStyle w:val="PolicyBullet"/>
      </w:pPr>
      <w:hyperlink r:id="rId16">
        <w:r>
          <w:rPr>
            <w:color w:val="2A6F78"/>
            <w:u w:val="single"/>
            <w:rFonts w:ascii="Aptos" w:hAnsi="Aptos"/>
          </w:rPr>
          <w:t>Oversight of independent training providers: operational guidance</w:t>
        </w:r>
      </w:hyperlink>
    </w:p>
    <w:p>
      <w:pPr>
        <w:pStyle w:val="PolicyBullet"/>
      </w:pPr>
      <w:hyperlink r:id="rId17">
        <w:r>
          <w:rPr>
            <w:color w:val="2A6F78"/>
            <w:u w:val="single"/>
            <w:rFonts w:ascii="Aptos" w:hAnsi="Aptos"/>
          </w:rPr>
          <w:t>Apprenticeship funding rules and assessment plan guidance: 2026 to 2027</w:t>
        </w:r>
      </w:hyperlink>
    </w:p>
    <w:p>
      <w:pPr>
        <w:pStyle w:val="PolicyBullet"/>
      </w:pPr>
      <w:hyperlink r:id="rId18">
        <w:r>
          <w:rPr>
            <w:color w:val="2A6F78"/>
            <w:u w:val="single"/>
            <w:rFonts w:ascii="Aptos" w:hAnsi="Aptos"/>
          </w:rPr>
          <w:t>Provider guide to delivering high-quality apprenticeships</w:t>
        </w:r>
      </w:hyperlink>
    </w:p>
    <w:p>
      <w:pPr>
        <w:pStyle w:val="PolicyBullet"/>
      </w:pPr>
      <w:hyperlink r:id="rId19">
        <w:r>
          <w:rPr>
            <w:color w:val="2A6F78"/>
            <w:u w:val="single"/>
            <w:rFonts w:ascii="Aptos" w:hAnsi="Aptos"/>
          </w:rPr>
          <w:t>Care and Support statutory guidance - safeguarding</w:t>
        </w:r>
      </w:hyperlink>
    </w:p>
    <w:p>
      <w:pPr>
        <w:pStyle w:val="PolicyBullet"/>
      </w:pPr>
      <w:hyperlink r:id="rId20">
        <w:r>
          <w:rPr>
            <w:color w:val="2A6F78"/>
            <w:u w:val="single"/>
            <w:rFonts w:ascii="Aptos" w:hAnsi="Aptos"/>
          </w:rPr>
          <w:t>Worker Protection (Amendment of Equality Act 2010) Act 2023</w:t>
        </w:r>
      </w:hyperlink>
    </w:p>
    <w:p>
      <w:pPr>
        <w:pStyle w:val="PolicyBullet"/>
      </w:pPr>
      <w:hyperlink r:id="rId21">
        <w:r>
          <w:rPr>
            <w:color w:val="2A6F78"/>
            <w:u w:val="single"/>
            <w:rFonts w:ascii="Aptos" w:hAnsi="Aptos"/>
          </w:rPr>
          <w:t>Employment Rights Act 2025 implementation timeline</w:t>
        </w:r>
      </w:hyperlink>
    </w:p>
    <w:p>
      <w:pPr>
        <w:pStyle w:val="PolicyNote"/>
      </w:pPr>
      <w:r>
        <w:rPr>
          <w:rFonts w:ascii="Aptos" w:hAnsi="Aptos"/>
        </w:rPr>
        <w:t>Sources checked on 10 August 2026. For live safeguarding or employment cases, the current published version of statutory guidance, local safeguarding procedures and applicable law must be used.</w:t>
      </w:r>
    </w:p>
    <w:sectPr w:rsidR="00FC693F" w:rsidRPr="0006063C" w:rsidSect="00034616">
      <w:headerReference w:type="default" r:id="rId9"/>
      <w:footerReference w:type="default" r:id="rId10"/>
      <w:pgSz w:w="11906" w:h="16838"/>
      <w:pgMar w:top="935" w:right="1020" w:bottom="879" w:left="1020"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ptos" w:hAnsi="Aptos"/>
        <w:color w:val="5A5A5A"/>
        <w:sz w:val="15"/>
      </w:rPr>
      <w:t>Qualia Academy | Bullying and Harassment Policy | V5.1:BAHP2026</w:t>
    </w:r>
  </w:p>
  <w:p>
    <w:pPr>
      <w:jc w:val="right"/>
    </w:pPr>
    <w:r>
      <w:rPr>
        <w:rFonts w:ascii="Aptos" w:hAnsi="Aptos"/>
        <w:color w:val="5A5A5A"/>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1080000" cy="480000"/>
          <wp:docPr id="1" name="Picture 1" descr="Qualia Academy logo" title="Qualia Academy logo"/>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1080000" cy="48000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90"/>
      <w:outlineLvl w:val="0"/>
    </w:pPr>
    <w:rPr>
      <w:rFonts w:asciiTheme="majorHAnsi" w:eastAsiaTheme="majorEastAsia" w:hAnsiTheme="majorHAnsi" w:cstheme="majorBidi" w:ascii="Aptos Display" w:hAnsi="Aptos Display"/>
      <w:b/>
      <w:bCs/>
      <w:color w:val="362D4E"/>
      <w:sz w:val="30"/>
      <w:szCs w:val="28"/>
    </w:rPr>
  </w:style>
  <w:style w:type="paragraph" w:styleId="Heading2">
    <w:name w:val="heading 2"/>
    <w:basedOn w:val="Normal"/>
    <w:next w:val="Normal"/>
    <w:link w:val="Heading2Char"/>
    <w:uiPriority w:val="9"/>
    <w:unhideWhenUsed/>
    <w:qFormat/>
    <w:rsid w:val="00FC693F"/>
    <w:pPr>
      <w:keepNext/>
      <w:keepLines/>
      <w:spacing w:before="200" w:after="90"/>
      <w:outlineLvl w:val="1"/>
    </w:pPr>
    <w:rPr>
      <w:rFonts w:asciiTheme="majorHAnsi" w:eastAsiaTheme="majorEastAsia" w:hAnsiTheme="majorHAnsi" w:cstheme="majorBidi" w:ascii="Aptos" w:hAnsi="Aptos"/>
      <w:b/>
      <w:bCs/>
      <w:color w:val="7E4A9A"/>
      <w:sz w:val="25"/>
      <w:szCs w:val="26"/>
    </w:rPr>
  </w:style>
  <w:style w:type="paragraph" w:styleId="Heading3">
    <w:name w:val="heading 3"/>
    <w:basedOn w:val="Normal"/>
    <w:next w:val="Normal"/>
    <w:link w:val="Heading3Char"/>
    <w:uiPriority w:val="9"/>
    <w:unhideWhenUsed/>
    <w:qFormat/>
    <w:rsid w:val="00FC693F"/>
    <w:pPr>
      <w:keepNext/>
      <w:keepLines/>
      <w:spacing w:before="200" w:after="90"/>
      <w:outlineLvl w:val="2"/>
    </w:pPr>
    <w:rPr>
      <w:rFonts w:asciiTheme="majorHAnsi" w:eastAsiaTheme="majorEastAsia" w:hAnsiTheme="majorHAnsi" w:cstheme="majorBidi" w:ascii="Aptos" w:hAnsi="Aptos"/>
      <w:b/>
      <w:bCs/>
      <w:color w:val="2A6F7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90" w:line="240" w:lineRule="auto" w:before="0"/>
      <w:contextualSpacing/>
    </w:pPr>
    <w:rPr>
      <w:rFonts w:asciiTheme="majorHAnsi" w:eastAsiaTheme="majorEastAsia" w:hAnsiTheme="majorHAnsi" w:cstheme="majorBidi" w:ascii="Aptos Display" w:hAnsi="Aptos Display"/>
      <w:b/>
      <w:color w:val="362D4E"/>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Bullet">
    <w:name w:val="Policy Bullet"/>
    <w:basedOn w:val="ListBullet"/>
    <w:pPr>
      <w:spacing w:after="48"/>
      <w:ind w:left="312" w:hanging="142"/>
    </w:pPr>
    <w:rPr>
      <w:rFonts w:ascii="Aptos" w:hAnsi="Aptos"/>
      <w:sz w:val="20"/>
    </w:rPr>
  </w:style>
  <w:style w:type="paragraph" w:customStyle="1" w:styleId="PolicyNote">
    <w:name w:val="Policy Note"/>
    <w:pPr>
      <w:spacing w:after="80"/>
    </w:pPr>
    <w:rPr>
      <w:rFonts w:ascii="Aptos" w:hAnsi="Aptos"/>
      <w:i/>
      <w:color w:val="5A5A5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gov.uk/government/publications/working-together-to-safeguard-children--2" TargetMode="External"/><Relationship Id="rId12" Type="http://schemas.openxmlformats.org/officeDocument/2006/relationships/hyperlink" Target="https://www.gov.uk/government/publications/working-together-to-safeguard-children--2/working-together-to-safeguard-children-2026-summary-of-changes" TargetMode="External"/><Relationship Id="rId13" Type="http://schemas.openxmlformats.org/officeDocument/2006/relationships/hyperlink" Target="https://www.gov.uk/government/publications/keeping-children-safe-in-education--2" TargetMode="External"/><Relationship Id="rId14" Type="http://schemas.openxmlformats.org/officeDocument/2006/relationships/hyperlink" Target="https://www.gov.uk/government/publications/further-education-and-skills-inspection-toolkit-operating-guide-and-information" TargetMode="External"/><Relationship Id="rId15" Type="http://schemas.openxmlformats.org/officeDocument/2006/relationships/hyperlink" Target="https://www.gov.uk/government/publications/further-education-and-skills-inspection-toolkit-operating-guide-and-information/inspection-information-for-further-education-and-skills-providers-for-use-from-september-2026" TargetMode="External"/><Relationship Id="rId16" Type="http://schemas.openxmlformats.org/officeDocument/2006/relationships/hyperlink" Target="https://www.gov.uk/government/publications/how-dfe-maintains-oversight-of-independent-training-providers-itps/oversight-of-independent-training-providers-operational-guidance" TargetMode="External"/><Relationship Id="rId17" Type="http://schemas.openxmlformats.org/officeDocument/2006/relationships/hyperlink" Target="https://www.gov.uk/government/publications/apprenticeship-funding-rules-and-assessment-plan-guidance-2026-to-2027" TargetMode="External"/><Relationship Id="rId18" Type="http://schemas.openxmlformats.org/officeDocument/2006/relationships/hyperlink" Target="https://www.gov.uk/government/publications/provider-guide-to-delivering-high-quality-apprenticeships/provider-guide-to-delivering-high-quality-apprenticeships" TargetMode="External"/><Relationship Id="rId19" Type="http://schemas.openxmlformats.org/officeDocument/2006/relationships/hyperlink" Target="https://www.gov.uk/government/publications/care-act-statutory-guidance/care-and-support-statutory-guidance" TargetMode="External"/><Relationship Id="rId20" Type="http://schemas.openxmlformats.org/officeDocument/2006/relationships/hyperlink" Target="https://www.legislation.gov.uk/ukpga/2023/51" TargetMode="External"/><Relationship Id="rId21" Type="http://schemas.openxmlformats.org/officeDocument/2006/relationships/hyperlink" Target="https://www.gov.uk/government/publications/implementing-the-plan-to-make-work-pay-and-employment-rights-act/plan-to-make-work-pay-and-employment-rights-act-timeline-upda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